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FBE" w:rsidRPr="00AD431D" w:rsidRDefault="00833E14" w:rsidP="0061223E">
      <w:pPr>
        <w:pStyle w:val="Balk1"/>
        <w:jc w:val="right"/>
        <w:rPr>
          <w:rFonts w:asciiTheme="majorHAnsi" w:hAnsiTheme="majorHAnsi"/>
          <w:color w:val="7F7F7F" w:themeColor="text1" w:themeTint="80"/>
          <w:sz w:val="22"/>
          <w:szCs w:val="22"/>
        </w:rPr>
      </w:pPr>
      <w:r>
        <w:rPr>
          <w:rFonts w:asciiTheme="majorHAnsi" w:hAnsiTheme="majorHAnsi"/>
          <w:noProof/>
          <w:color w:val="7F7F7F" w:themeColor="text1" w:themeTint="80"/>
          <w:sz w:val="22"/>
          <w:szCs w:val="22"/>
          <w:lang w:eastAsia="tr-TR"/>
        </w:rPr>
        <w:pict>
          <v:line id="Straight Connector 9" o:spid="_x0000_s1026" style="position:absolute;left:0;text-align:left;z-index:251660288;visibility:visible;mso-width-relative:margin;mso-height-relative:margin" from="-90pt,125.9pt" to="7in,125.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" strokecolor="#1f497d [3215]"/>
        </w:pict>
      </w:r>
      <w:r>
        <w:rPr>
          <w:rFonts w:asciiTheme="majorHAnsi" w:hAnsiTheme="majorHAnsi"/>
          <w:noProof/>
          <w:color w:val="7F7F7F" w:themeColor="text1" w:themeTint="80"/>
          <w:sz w:val="22"/>
          <w:szCs w:val="22"/>
          <w:lang w:eastAsia="tr-TR"/>
        </w:rPr>
        <w:pict>
          <v:shapetype id="_x0000_t202" coordsize="21600,21600" o:spt="202" path="m,l,21600r21600,l21600,xe">
            <v:stroke joinstyle="miter"/>
            <v:path gradientshapeok="t" o:connecttype="rect"/>
          </v:shapetype>
          <v:shape id="Text Box 8" o:spid="_x0000_s1027" type="#_x0000_t202" style="position:absolute;left:0;text-align:left;margin-left:-53.85pt;margin-top:-53.95pt;width:540pt;height:171.2pt;z-index:251659264;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" filled="f" stroked="f">
            <v:textbox>
              <w:txbxContent>
                <w:p w:rsidR="00976969" w:rsidRPr="007C2AF5" w:rsidRDefault="00976969" w:rsidP="00677448">
                  <w:pPr>
                    <w:ind w:left="-142"/>
                    <w:jc w:val="center"/>
                    <w:rPr>
                      <w:color w:val="17365D" w:themeColor="text2" w:themeShade="BF"/>
                      <w:sz w:val="32"/>
                      <w:szCs w:val="32"/>
                    </w:rPr>
                  </w:pPr>
                  <w:r>
                    <w:rPr>
                      <w:rFonts w:asciiTheme="majorHAnsi" w:hAnsiTheme="majorHAnsi"/>
                      <w:noProof/>
                      <w:color w:val="548DD4" w:themeColor="text2" w:themeTint="99"/>
                      <w:lang w:eastAsia="tr-TR"/>
                    </w:rPr>
                    <w:drawing>
                      <wp:inline distT="0" distB="0" distL="0" distR="0">
                        <wp:extent cx="6255765" cy="139742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KAR_ANTET.jp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6255993" cy="1397474"/>
                                </a:xfrm>
                                <a:prstGeom prst="rect">
                                  <a:avLst/>
                                </a:prstGeom>
                              </pic:spPr>
                            </pic:pic>
                          </a:graphicData>
                        </a:graphic>
                      </wp:inline>
                    </w:drawing>
                  </w:r>
                  <w:r w:rsidRPr="007C2AF5">
                    <w:rPr>
                      <w:rFonts w:ascii="Avenir Heavy" w:hAnsi="Avenir Heavy"/>
                      <w:color w:val="17365D" w:themeColor="text2" w:themeShade="BF"/>
                      <w:sz w:val="44"/>
                      <w:szCs w:val="44"/>
                    </w:rPr>
                    <w:t>Sendikalaşma ve Toplu İş Sözleşmesi Raporu</w:t>
                  </w:r>
                  <w:r>
                    <w:rPr>
                      <w:rFonts w:ascii="Avenir Heavy" w:hAnsi="Avenir Heavy"/>
                      <w:color w:val="17365D" w:themeColor="text2" w:themeShade="BF"/>
                      <w:sz w:val="32"/>
                      <w:szCs w:val="32"/>
                    </w:rPr>
                    <w:br/>
                  </w:r>
                  <w:r w:rsidR="00B7740E">
                    <w:rPr>
                      <w:rFonts w:ascii="Avenir Heavy" w:hAnsi="Avenir Heavy"/>
                      <w:color w:val="17365D" w:themeColor="text2" w:themeShade="BF"/>
                      <w:sz w:val="32"/>
                      <w:szCs w:val="32"/>
                    </w:rPr>
                    <w:t>Ağustos</w:t>
                  </w:r>
                  <w:r w:rsidRPr="007C2AF5">
                    <w:rPr>
                      <w:rFonts w:ascii="Avenir Heavy" w:hAnsi="Avenir Heavy"/>
                      <w:color w:val="17365D" w:themeColor="text2" w:themeShade="BF"/>
                      <w:sz w:val="32"/>
                      <w:szCs w:val="32"/>
                    </w:rPr>
                    <w:t xml:space="preserve"> 2016</w:t>
                  </w:r>
                </w:p>
              </w:txbxContent>
            </v:textbox>
            <w10:wrap type="square"/>
          </v:shape>
        </w:pict>
      </w:r>
      <w:r w:rsidR="00B7740E">
        <w:rPr>
          <w:rFonts w:asciiTheme="majorHAnsi" w:hAnsiTheme="majorHAnsi"/>
          <w:color w:val="7F7F7F" w:themeColor="text1" w:themeTint="80"/>
          <w:sz w:val="22"/>
          <w:szCs w:val="22"/>
          <w:lang w:val="uk-UA"/>
        </w:rPr>
        <w:t>2</w:t>
      </w:r>
      <w:bookmarkStart w:id="0" w:name="_GoBack"/>
      <w:bookmarkEnd w:id="0"/>
      <w:r w:rsidR="007C2AF5" w:rsidRPr="00AD431D">
        <w:rPr>
          <w:rFonts w:asciiTheme="majorHAnsi" w:hAnsiTheme="majorHAnsi"/>
          <w:color w:val="7F7F7F" w:themeColor="text1" w:themeTint="80"/>
          <w:sz w:val="22"/>
          <w:szCs w:val="22"/>
        </w:rPr>
        <w:t xml:space="preserve"> Ağustos 2016</w:t>
      </w:r>
    </w:p>
    <w:p w:rsidR="00FB2089" w:rsidRDefault="00AC0678" w:rsidP="004E0C3E">
      <w:pPr>
        <w:tabs>
          <w:tab w:val="center" w:pos="4153"/>
          <w:tab w:val="left" w:pos="8222"/>
        </w:tabs>
        <w:rPr>
          <w:color w:val="FFFFFF" w:themeColor="background1"/>
          <w:w w:val="90"/>
          <w:sz w:val="32"/>
          <w:szCs w:val="32"/>
          <w:lang w:val="uk-UA"/>
        </w:rPr>
      </w:pPr>
      <w:r w:rsidRPr="00D4187C">
        <w:rPr>
          <w:color w:val="FFFFFF" w:themeColor="background1"/>
          <w:w w:val="90"/>
          <w:sz w:val="28"/>
          <w:szCs w:val="28"/>
          <w:highlight w:val="red"/>
          <w:lang w:val="uk-UA"/>
        </w:rPr>
        <w:tab/>
      </w:r>
      <w:r w:rsidR="00EB0E20">
        <w:rPr>
          <w:color w:val="FFFFFF" w:themeColor="background1"/>
          <w:w w:val="90"/>
          <w:sz w:val="32"/>
          <w:szCs w:val="32"/>
          <w:highlight w:val="red"/>
          <w:lang w:val="uk-UA"/>
        </w:rPr>
        <w:t>Sendikalı işçilerin üçte biri toplu sözleşme kapsamı dışında</w:t>
      </w:r>
      <w:r w:rsidRPr="00D4187C">
        <w:rPr>
          <w:color w:val="FFFFFF" w:themeColor="background1"/>
          <w:w w:val="90"/>
          <w:sz w:val="32"/>
          <w:szCs w:val="32"/>
          <w:highlight w:val="red"/>
          <w:lang w:val="uk-UA"/>
        </w:rPr>
        <w:tab/>
      </w:r>
    </w:p>
    <w:p w:rsidR="002E10EF" w:rsidRDefault="002E10EF" w:rsidP="002E10EF">
      <w:pPr>
        <w:tabs>
          <w:tab w:val="center" w:pos="4153"/>
          <w:tab w:val="left" w:pos="8222"/>
        </w:tabs>
        <w:rPr>
          <w:color w:val="FFFFFF" w:themeColor="background1"/>
          <w:w w:val="90"/>
          <w:sz w:val="32"/>
          <w:szCs w:val="32"/>
          <w:lang w:val="uk-UA"/>
        </w:rPr>
      </w:pPr>
      <w:r w:rsidRPr="00D4187C">
        <w:rPr>
          <w:color w:val="FFFFFF" w:themeColor="background1"/>
          <w:w w:val="90"/>
          <w:sz w:val="28"/>
          <w:szCs w:val="28"/>
          <w:highlight w:val="red"/>
          <w:lang w:val="uk-UA"/>
        </w:rPr>
        <w:tab/>
      </w:r>
      <w:r w:rsidR="004F72E1">
        <w:rPr>
          <w:color w:val="FFFFFF" w:themeColor="background1"/>
          <w:w w:val="90"/>
          <w:sz w:val="28"/>
          <w:szCs w:val="28"/>
          <w:highlight w:val="red"/>
          <w:lang w:val="uk-UA"/>
        </w:rPr>
        <w:t>Sendikalaşmada</w:t>
      </w:r>
      <w:r w:rsidR="00EF0657">
        <w:rPr>
          <w:color w:val="FFFFFF" w:themeColor="background1"/>
          <w:w w:val="90"/>
          <w:sz w:val="28"/>
          <w:szCs w:val="28"/>
          <w:highlight w:val="red"/>
          <w:lang w:val="uk-UA"/>
        </w:rPr>
        <w:t xml:space="preserve"> </w:t>
      </w:r>
      <w:r w:rsidR="00EA1BE9">
        <w:rPr>
          <w:color w:val="FFFFFF" w:themeColor="background1"/>
          <w:w w:val="90"/>
          <w:sz w:val="28"/>
          <w:szCs w:val="28"/>
          <w:highlight w:val="red"/>
          <w:lang w:val="uk-UA"/>
        </w:rPr>
        <w:t xml:space="preserve">son 4 yıldır </w:t>
      </w:r>
      <w:r w:rsidR="004F72E1">
        <w:rPr>
          <w:color w:val="FFFFFF" w:themeColor="background1"/>
          <w:w w:val="90"/>
          <w:sz w:val="28"/>
          <w:szCs w:val="28"/>
          <w:highlight w:val="red"/>
          <w:lang w:val="uk-UA"/>
        </w:rPr>
        <w:t>yaşanan artış</w:t>
      </w:r>
      <w:r w:rsidR="00EF0657">
        <w:rPr>
          <w:color w:val="FFFFFF" w:themeColor="background1"/>
          <w:w w:val="90"/>
          <w:sz w:val="28"/>
          <w:szCs w:val="28"/>
          <w:highlight w:val="red"/>
          <w:lang w:val="uk-UA"/>
        </w:rPr>
        <w:t>ın büyük bölümü</w:t>
      </w:r>
      <w:r w:rsidR="004F72E1">
        <w:rPr>
          <w:color w:val="FFFFFF" w:themeColor="background1"/>
          <w:w w:val="90"/>
          <w:sz w:val="28"/>
          <w:szCs w:val="28"/>
          <w:highlight w:val="red"/>
          <w:lang w:val="uk-UA"/>
        </w:rPr>
        <w:t xml:space="preserve"> yapay</w:t>
      </w:r>
      <w:r w:rsidRPr="00D4187C">
        <w:rPr>
          <w:color w:val="FFFFFF" w:themeColor="background1"/>
          <w:w w:val="90"/>
          <w:sz w:val="32"/>
          <w:szCs w:val="32"/>
          <w:highlight w:val="red"/>
          <w:lang w:val="uk-UA"/>
        </w:rPr>
        <w:tab/>
      </w:r>
    </w:p>
    <w:p w:rsidR="004F72E1" w:rsidRPr="00D4187C" w:rsidRDefault="004F72E1" w:rsidP="004F72E1">
      <w:pPr>
        <w:tabs>
          <w:tab w:val="center" w:pos="4153"/>
          <w:tab w:val="left" w:pos="8222"/>
        </w:tabs>
        <w:rPr>
          <w:color w:val="FFFFFF" w:themeColor="background1"/>
          <w:w w:val="90"/>
          <w:sz w:val="32"/>
          <w:szCs w:val="32"/>
          <w:lang w:val="uk-UA"/>
        </w:rPr>
      </w:pPr>
      <w:r w:rsidRPr="00D4187C">
        <w:rPr>
          <w:color w:val="FFFFFF" w:themeColor="background1"/>
          <w:w w:val="90"/>
          <w:sz w:val="28"/>
          <w:szCs w:val="28"/>
          <w:highlight w:val="red"/>
          <w:lang w:val="uk-UA"/>
        </w:rPr>
        <w:tab/>
      </w:r>
      <w:r>
        <w:rPr>
          <w:color w:val="FFFFFF" w:themeColor="background1"/>
          <w:w w:val="90"/>
          <w:sz w:val="28"/>
          <w:szCs w:val="28"/>
          <w:highlight w:val="red"/>
          <w:lang w:val="uk-UA"/>
        </w:rPr>
        <w:t xml:space="preserve">Toplu iş sözleşmesi kapsamı özel sektörde </w:t>
      </w:r>
      <w:r w:rsidR="00FC1395">
        <w:rPr>
          <w:color w:val="FFFFFF" w:themeColor="background1"/>
          <w:w w:val="90"/>
          <w:sz w:val="28"/>
          <w:szCs w:val="28"/>
          <w:highlight w:val="red"/>
          <w:lang w:val="uk-UA"/>
        </w:rPr>
        <w:t xml:space="preserve">sadece </w:t>
      </w:r>
      <w:r>
        <w:rPr>
          <w:color w:val="FFFFFF" w:themeColor="background1"/>
          <w:w w:val="90"/>
          <w:sz w:val="28"/>
          <w:szCs w:val="28"/>
          <w:highlight w:val="red"/>
          <w:lang w:val="uk-UA"/>
        </w:rPr>
        <w:t xml:space="preserve">yüzde </w:t>
      </w:r>
      <w:r w:rsidR="00A65E08">
        <w:rPr>
          <w:color w:val="FFFFFF" w:themeColor="background1"/>
          <w:w w:val="90"/>
          <w:sz w:val="28"/>
          <w:szCs w:val="28"/>
          <w:highlight w:val="red"/>
          <w:lang w:val="uk-UA"/>
        </w:rPr>
        <w:t>4,6</w:t>
      </w:r>
      <w:r w:rsidRPr="00D4187C">
        <w:rPr>
          <w:color w:val="FFFFFF" w:themeColor="background1"/>
          <w:w w:val="90"/>
          <w:sz w:val="32"/>
          <w:szCs w:val="32"/>
          <w:highlight w:val="red"/>
          <w:lang w:val="uk-UA"/>
        </w:rPr>
        <w:tab/>
      </w:r>
    </w:p>
    <w:p w:rsidR="00D15D4E" w:rsidRDefault="00D15D4E" w:rsidP="00D15D4E">
      <w:pPr>
        <w:jc w:val="center"/>
        <w:rPr>
          <w:rFonts w:ascii="Avenir Heavy" w:hAnsi="Avenir Heavy" w:cs="Cambria"/>
          <w:bCs/>
          <w:color w:val="17365D" w:themeColor="text2" w:themeShade="BF"/>
          <w:sz w:val="26"/>
          <w:szCs w:val="26"/>
        </w:rPr>
      </w:pPr>
      <w:r w:rsidRPr="00AD431D">
        <w:rPr>
          <w:rFonts w:ascii="Avenir Heavy" w:hAnsi="Avenir Heavy" w:cs="Cambria"/>
          <w:bCs/>
          <w:color w:val="17365D" w:themeColor="text2" w:themeShade="BF"/>
          <w:sz w:val="26"/>
          <w:szCs w:val="26"/>
        </w:rPr>
        <w:t>Özet</w:t>
      </w:r>
    </w:p>
    <w:p w:rsidR="001A216B" w:rsidRDefault="001A216B" w:rsidP="001A216B">
      <w:r>
        <w:rPr>
          <w:rFonts w:eastAsia="Avenir Medium" w:cs="Avenir Medium"/>
          <w:szCs w:val="22"/>
        </w:rPr>
        <w:t>Türkiye Devrimci İşçi Sendikaları Konfederasyonu Araştırma Enstitüsü (DİSK-AR) Temmuz 2016 sendikalaşma ve Aralık</w:t>
      </w:r>
      <w:r>
        <w:rPr>
          <w:rFonts w:eastAsia="Avenir Medium" w:cs="Avenir Medium"/>
        </w:rPr>
        <w:t xml:space="preserve"> </w:t>
      </w:r>
      <w:r>
        <w:rPr>
          <w:rFonts w:eastAsia="Avenir Medium" w:cs="Avenir Medium"/>
          <w:szCs w:val="22"/>
        </w:rPr>
        <w:t>2015 toplu iş sözleşmesi kapsam</w:t>
      </w:r>
      <w:r>
        <w:rPr>
          <w:rFonts w:eastAsia="Avenir Medium" w:cs="Avenir Medium"/>
        </w:rPr>
        <w:t>ı</w:t>
      </w:r>
      <w:r>
        <w:rPr>
          <w:rFonts w:eastAsia="Avenir Medium" w:cs="Avenir Medium"/>
          <w:szCs w:val="22"/>
        </w:rPr>
        <w:t xml:space="preserve"> istatistiklerini değerlendirdi.</w:t>
      </w:r>
    </w:p>
    <w:p w:rsidR="001A216B" w:rsidRDefault="001A216B" w:rsidP="001A216B">
      <w:pPr>
        <w:numPr>
          <w:ilvl w:val="0"/>
          <w:numId w:val="18"/>
        </w:numPr>
        <w:spacing w:after="120" w:afterAutospacing="0"/>
      </w:pPr>
      <w:r>
        <w:rPr>
          <w:rFonts w:eastAsia="Avenir Medium" w:cs="Avenir Medium"/>
          <w:szCs w:val="22"/>
        </w:rPr>
        <w:t>Çalışma ve Sosyal Güvenlik Bakanlığı (ÇSGB) tarafından yüzde 11,5 olarak açıklanan sendikalaşma oranı gerçek durumu yansıtmıyor.</w:t>
      </w:r>
    </w:p>
    <w:p w:rsidR="001A216B" w:rsidRDefault="001A216B" w:rsidP="001A216B">
      <w:pPr>
        <w:numPr>
          <w:ilvl w:val="0"/>
          <w:numId w:val="18"/>
        </w:numPr>
        <w:spacing w:after="120" w:afterAutospacing="0"/>
      </w:pPr>
      <w:r>
        <w:rPr>
          <w:rFonts w:eastAsia="Avenir Medium" w:cs="Avenir Medium"/>
          <w:szCs w:val="22"/>
        </w:rPr>
        <w:t>Kayıt dışı işçileri de kapsayan fiili sendikalaşma oranı yüzde 9,7, toplu iş sözleşmesi kapsamı yüzde 7, özel sektörde toplu iş sözleşmesi kapsamı ise yüzde 4,6’dır.</w:t>
      </w:r>
    </w:p>
    <w:p w:rsidR="001A216B" w:rsidRDefault="001A216B" w:rsidP="001A216B">
      <w:pPr>
        <w:numPr>
          <w:ilvl w:val="0"/>
          <w:numId w:val="18"/>
        </w:numPr>
        <w:spacing w:after="120" w:afterAutospacing="0"/>
      </w:pPr>
      <w:r>
        <w:rPr>
          <w:rFonts w:eastAsia="Avenir Medium" w:cs="Avenir Medium"/>
          <w:szCs w:val="22"/>
        </w:rPr>
        <w:t>2012-2016 arasında sendikalı işçi sayısı 1 milyondan 1,5 milyona çıkmış olmasına karşın, sendikalı işçilerin yaklaşık 500 bini toplu iş sözleşmesinden yararlanamıyor.</w:t>
      </w:r>
    </w:p>
    <w:p w:rsidR="001A216B" w:rsidRDefault="001A216B" w:rsidP="001A216B">
      <w:pPr>
        <w:numPr>
          <w:ilvl w:val="0"/>
          <w:numId w:val="18"/>
        </w:numPr>
        <w:spacing w:after="120" w:afterAutospacing="0"/>
      </w:pPr>
      <w:r>
        <w:rPr>
          <w:rFonts w:eastAsia="Avenir Medium" w:cs="Avenir Medium"/>
          <w:szCs w:val="22"/>
        </w:rPr>
        <w:t>2013, 2014 ve 2015 yıllarında hızla artan sendikalı işçi sayısı, 2016 Temmuz ayında durma eğilimine gir</w:t>
      </w:r>
      <w:r w:rsidR="00245F6B">
        <w:rPr>
          <w:rFonts w:eastAsia="Avenir Medium" w:cs="Avenir Medium"/>
          <w:szCs w:val="22"/>
        </w:rPr>
        <w:t>di</w:t>
      </w:r>
      <w:r>
        <w:rPr>
          <w:rFonts w:eastAsia="Avenir Medium" w:cs="Avenir Medium"/>
          <w:szCs w:val="22"/>
        </w:rPr>
        <w:t>.</w:t>
      </w:r>
    </w:p>
    <w:p w:rsidR="001A216B" w:rsidRDefault="001A216B" w:rsidP="001A216B">
      <w:pPr>
        <w:numPr>
          <w:ilvl w:val="0"/>
          <w:numId w:val="18"/>
        </w:numPr>
        <w:spacing w:after="120" w:afterAutospacing="0"/>
      </w:pPr>
      <w:r>
        <w:rPr>
          <w:rFonts w:eastAsia="Avenir Medium" w:cs="Avenir Medium"/>
          <w:szCs w:val="22"/>
        </w:rPr>
        <w:t>Sendikalaşmanın en düşük olduğu işkolları yüzde 2,6 ile inşaat, yüzde 3,4 ile turizm ve yüzde 4,9 ile büro işkoludur.</w:t>
      </w:r>
    </w:p>
    <w:p w:rsidR="001A216B" w:rsidRDefault="001A216B" w:rsidP="001A216B">
      <w:pPr>
        <w:numPr>
          <w:ilvl w:val="0"/>
          <w:numId w:val="18"/>
        </w:numPr>
        <w:spacing w:after="120" w:afterAutospacing="0"/>
      </w:pPr>
      <w:r>
        <w:rPr>
          <w:rFonts w:eastAsia="Avenir Medium" w:cs="Avenir Medium"/>
          <w:szCs w:val="22"/>
        </w:rPr>
        <w:t>Erkek işçilerde sendikalaşma oranı yüzde 13 iken, kadın işçilerde yüzde 7’dir.</w:t>
      </w:r>
    </w:p>
    <w:p w:rsidR="001A216B" w:rsidRDefault="001A216B" w:rsidP="001A216B">
      <w:pPr>
        <w:numPr>
          <w:ilvl w:val="0"/>
          <w:numId w:val="18"/>
        </w:numPr>
        <w:spacing w:after="120" w:afterAutospacing="0"/>
      </w:pPr>
      <w:r>
        <w:rPr>
          <w:rFonts w:eastAsia="Avenir Medium" w:cs="Avenir Medium"/>
          <w:szCs w:val="22"/>
        </w:rPr>
        <w:t>İstanbul sendikalaşmanın e</w:t>
      </w:r>
      <w:r w:rsidR="00245F6B">
        <w:rPr>
          <w:rFonts w:eastAsia="Avenir Medium" w:cs="Avenir Medium"/>
          <w:szCs w:val="22"/>
        </w:rPr>
        <w:t>n düşük olduğu iller arasına yer alıyor</w:t>
      </w:r>
      <w:r>
        <w:rPr>
          <w:rFonts w:eastAsia="Avenir Medium" w:cs="Avenir Medium"/>
          <w:szCs w:val="22"/>
        </w:rPr>
        <w:t>.</w:t>
      </w:r>
    </w:p>
    <w:p w:rsidR="00036AD4" w:rsidRPr="00036F1E" w:rsidRDefault="00036AD4" w:rsidP="001A216B">
      <w:pPr>
        <w:pStyle w:val="ListeParagraf"/>
      </w:pPr>
    </w:p>
    <w:p w:rsidR="00EB0E20" w:rsidRDefault="00EB0E20" w:rsidP="004D2036">
      <w:pPr>
        <w:pStyle w:val="Balk2"/>
        <w:rPr>
          <w:color w:val="17365D" w:themeColor="text2" w:themeShade="BF"/>
        </w:rPr>
      </w:pPr>
      <w:r>
        <w:rPr>
          <w:color w:val="17365D" w:themeColor="text2" w:themeShade="BF"/>
        </w:rPr>
        <w:t>Giriş</w:t>
      </w:r>
    </w:p>
    <w:p w:rsidR="001A216B" w:rsidRDefault="001A216B" w:rsidP="001A216B">
      <w:r>
        <w:rPr>
          <w:rFonts w:eastAsia="Avenir Medium" w:cs="Avenir Medium"/>
          <w:szCs w:val="22"/>
        </w:rPr>
        <w:t xml:space="preserve">6356 sayılı Sendikalar ve Toplu İş Sözleşmesi Kanunu gereğince işçi sendikalarının üye sayılarına ilişkin istatistik 30 Temmuz 2016 tarihli Resmi Gazete’de yayımlandı. Sendikalaşma istatistiği bir yandan Türkiye’de işçi sendikalarının tablosunu ortaya </w:t>
      </w:r>
      <w:r>
        <w:rPr>
          <w:rFonts w:eastAsia="Avenir Medium" w:cs="Avenir Medium"/>
          <w:szCs w:val="22"/>
        </w:rPr>
        <w:lastRenderedPageBreak/>
        <w:t>koyarken, öte yandan sendikaların toplu iş sözleşmesi yapmaları için gerekli olan yüzde 1’lik işkolu barajını aşıp aşmadıklarını gösteriyor.</w:t>
      </w:r>
    </w:p>
    <w:p w:rsidR="001A216B" w:rsidRDefault="001A216B" w:rsidP="001A216B">
      <w:r>
        <w:rPr>
          <w:rFonts w:eastAsia="Avenir Medium" w:cs="Avenir Medium"/>
          <w:szCs w:val="22"/>
        </w:rPr>
        <w:t xml:space="preserve">2012 yılında çıkarılan 6356 sayılı yasadan sonra sendikaların üye sayılarını hesaplama yöntemi değiştirildi. Bir yandan e-devlet yoluyla üyelik sistemine geçildi. Öte yandan işçi sayıları açısından Sosyal Güvenlik Kurumu verileri esas alınmaya başlandı. Böylece 2821 sayılı Sendikalar Yasası döneminde sendika üye sayılarına ilişkin gerçek dışı veriler büyük ölçüde ortadan kalktı. 6356 sayılı yasadan sonra yayımlanan istatistiklerin önceki döneme göre daha sağlıklı olduğunu söylemek mümkün. Ancak yeni dönemde de sendikalaşma oranları ve toplu iş sözleşmesi kapsamıyla ilgili hesaplamalarda çeşitli sorunlar yaşanıyor. ÇSGB kayıt dışı isçileri hesaba katmadığı için sendikalaşma oranları gerçek durumdan daha yüksek çıkıyor. </w:t>
      </w:r>
    </w:p>
    <w:p w:rsidR="001A216B" w:rsidRDefault="001A216B" w:rsidP="001A216B">
      <w:r>
        <w:rPr>
          <w:rFonts w:eastAsia="Avenir Medium" w:cs="Avenir Medium"/>
          <w:szCs w:val="22"/>
        </w:rPr>
        <w:t xml:space="preserve">Bu raporda 2013-2016 döneminde (6356 sayılı yasa sonrası) sendikalaşma oranları ve toplu iş sözleşmesi kapsamı ele alınacaktır. </w:t>
      </w:r>
    </w:p>
    <w:p w:rsidR="00282CAA" w:rsidRDefault="00282CAA" w:rsidP="004D2036">
      <w:pPr>
        <w:pStyle w:val="Balk2"/>
        <w:rPr>
          <w:color w:val="17365D" w:themeColor="text2" w:themeShade="BF"/>
        </w:rPr>
      </w:pPr>
      <w:r>
        <w:rPr>
          <w:color w:val="17365D" w:themeColor="text2" w:themeShade="BF"/>
        </w:rPr>
        <w:t xml:space="preserve">Sendikalaşma </w:t>
      </w:r>
    </w:p>
    <w:p w:rsidR="001A216B" w:rsidRDefault="001A216B" w:rsidP="001A216B">
      <w:r>
        <w:rPr>
          <w:rFonts w:eastAsia="Avenir Medium" w:cs="Avenir Medium"/>
          <w:szCs w:val="22"/>
        </w:rPr>
        <w:t>Temmuz 2016 istatistiğine göre sendikalı işçi sayısı 1 milyon 499 bin 870’dir. Sigortalı işçi sayısı ise 13 milyon 38 bin 351’dir. Böylece sigortalı işçilerin sendikalaşma oranı yüzde 11</w:t>
      </w:r>
      <w:r w:rsidR="00EA1BE9" w:rsidRPr="00EA1BE9">
        <w:rPr>
          <w:rFonts w:eastAsia="Avenir Medium" w:cs="Avenir Medium"/>
          <w:color w:val="FF0000"/>
          <w:szCs w:val="22"/>
        </w:rPr>
        <w:t>,</w:t>
      </w:r>
      <w:r>
        <w:rPr>
          <w:rFonts w:eastAsia="Avenir Medium" w:cs="Avenir Medium"/>
          <w:szCs w:val="22"/>
        </w:rPr>
        <w:t xml:space="preserve">5 olmaktadır. Ancak bu oran kayıt dışı çalışanları kapsamadığı için hatalıdır. Çalışma ve Sosyal Güvenlik Bakanlığı (ÇSGB) sendikalaşma oranını üye sayılarını Sosyal Güvenlik Kurumu’na (SGK) kayıtlı olan işçi sayısına bölerek bulmaktadır. Bu oran ILO tarafından kullanılan yönteme uyumsuzdur ve iki nedenle hatalıdır. Birincisi kayıt dışı işçiler hesaba katılmadığı için sendikalaşma oranı fiili durumdan daha yüksek çıkmaktadır. Öte yandan bu oran toplu iş sözleşmesi kapsamındaki sendikalı işçi sayısını yansıtmamaktadır. Türkiye’de toplu iş sözleşmesi kapsamındaki işçi sayısı sendikalı işçi sayısının çok altındadır. Öte yandan kamu ve özel sektörde sendikalaşma oranları açısından büyük farklar vardır. Bu yüzden alternatif sendikalaşma ve toplu iş sözleşmesi kapsama oranlarına bakmakta yarar vardır. </w:t>
      </w:r>
    </w:p>
    <w:p w:rsidR="00964016" w:rsidRDefault="001A216B" w:rsidP="001A216B">
      <w:r>
        <w:rPr>
          <w:rFonts w:eastAsia="Avenir Medium" w:cs="Avenir Medium"/>
          <w:szCs w:val="22"/>
        </w:rPr>
        <w:t>Sigortalı işçileri esas alan resmi sendikalaşma oranı yüzde 11,5 iken kayıt dışı işçileri hesaba kattığımızda bu oran yüzde 9,7’ye gerilemektedir. Toplu iş sözleşmesi kapsam</w:t>
      </w:r>
      <w:r>
        <w:rPr>
          <w:rFonts w:eastAsia="Avenir Medium" w:cs="Avenir Medium"/>
        </w:rPr>
        <w:t>ı</w:t>
      </w:r>
      <w:r>
        <w:rPr>
          <w:rFonts w:eastAsia="Avenir Medium" w:cs="Avenir Medium"/>
          <w:szCs w:val="22"/>
        </w:rPr>
        <w:t xml:space="preserve"> oranları açısından ise durum daha da vahimdir. İşçilerin sadece yüzde 7’si toplu iş sözleşmesi kapsamındadır. Özel sektörde ise toplu iş sözleşmesi kapsamı yüzde 4,6 civarındadır. Diğer bir ifadeyle toplu iş sözleşmesi yoluyla fiilen sendikal hakları kullanabilen işçilerin oranı genel olarak yüzde 7, özel sektörde yüzde 4,6’dır (Grafik 1). Bu tablo karşısında ÇSGB tarafından açıklanan yüzde 11,5’lik sendikalaşma oranı fiili durumu yansıtmayan yapay bir sendikalaşma oranıdır. </w:t>
      </w:r>
      <w:r w:rsidR="00A52A62">
        <w:t xml:space="preserve"> </w:t>
      </w:r>
    </w:p>
    <w:p w:rsidR="00964016" w:rsidRDefault="00964016" w:rsidP="00964016">
      <w:pPr>
        <w:pStyle w:val="Balk3"/>
      </w:pPr>
      <w:r>
        <w:lastRenderedPageBreak/>
        <w:t>Grafik</w:t>
      </w:r>
      <w:r w:rsidR="002D0D15">
        <w:t xml:space="preserve"> 1</w:t>
      </w:r>
      <w:r>
        <w:t>: Sendikalaşma ve TİS Kapsama Oranları</w:t>
      </w:r>
    </w:p>
    <w:p w:rsidR="00C22249" w:rsidRDefault="00246535" w:rsidP="00273C9C">
      <w:r>
        <w:rPr>
          <w:noProof/>
          <w:lang w:eastAsia="tr-TR"/>
        </w:rPr>
        <w:drawing>
          <wp:inline distT="0" distB="0" distL="0" distR="0">
            <wp:extent cx="5080635" cy="4587240"/>
            <wp:effectExtent l="0" t="0" r="24765" b="1016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A216B" w:rsidRDefault="001A216B" w:rsidP="001A216B">
      <w:r>
        <w:rPr>
          <w:rFonts w:eastAsia="Avenir Medium" w:cs="Avenir Medium"/>
          <w:szCs w:val="22"/>
        </w:rPr>
        <w:t>Sendikalı işçi sayısının ve oranının bir önceki döneme göre düştüğü görülmektedir. Bu durum son dört yılda ilk kez olmaktadır. Ocak 2014 döneminde 1 milyon 514 bin 53 olan işçi sayısı 14 bin 193 kişi azaldı. Resmi sendikalaşma oranı da yüzde 12’den yüzde 11,5’e geriledi. Bu gerilemenin nedeni 15 Temmuz 2016 darbe girişiminin ardından</w:t>
      </w:r>
      <w:r>
        <w:rPr>
          <w:rFonts w:eastAsia="Avenir Medium" w:cs="Avenir Medium"/>
        </w:rPr>
        <w:t xml:space="preserve"> </w:t>
      </w:r>
      <w:r>
        <w:rPr>
          <w:rFonts w:eastAsia="Avenir Medium" w:cs="Avenir Medium"/>
          <w:szCs w:val="22"/>
        </w:rPr>
        <w:t>Aksiyon-İş konfederasyonuna bağlı sendikaların kapatılması olmuştur. Ancak azalma eğilimi bununla sınırlı değildir. Ocak 2013 istatistiğinden bu yana her dönem hızlı biçimde artan sendikalı işçi sayısı Temmuz 2016 istatistiğiyle ilk kez durgunluk eğilimine girmiştir.</w:t>
      </w:r>
    </w:p>
    <w:p w:rsidR="007C016B" w:rsidRDefault="007C016B" w:rsidP="007C016B">
      <w:pPr>
        <w:pStyle w:val="Balk3"/>
      </w:pPr>
      <w:r w:rsidRPr="002D0D15">
        <w:t>Tablo</w:t>
      </w:r>
      <w:r w:rsidR="00A15A81" w:rsidRPr="002D0D15">
        <w:t xml:space="preserve"> </w:t>
      </w:r>
      <w:r w:rsidR="002D0D15" w:rsidRPr="002D0D15">
        <w:t>1</w:t>
      </w:r>
      <w:r w:rsidRPr="002D0D15">
        <w:t>: Sigortalı ve Sendikalı İşçi Sayısı (2013-2016)</w:t>
      </w:r>
    </w:p>
    <w:tbl>
      <w:tblPr>
        <w:tblStyle w:val="GridTable4Accent1"/>
        <w:tblW w:w="10207" w:type="dxa"/>
        <w:tblInd w:w="-746" w:type="dxa"/>
        <w:tblLayout w:type="fixed"/>
        <w:tblLook w:val="04A0"/>
      </w:tblPr>
      <w:tblGrid>
        <w:gridCol w:w="1135"/>
        <w:gridCol w:w="1134"/>
        <w:gridCol w:w="1134"/>
        <w:gridCol w:w="1134"/>
        <w:gridCol w:w="1134"/>
        <w:gridCol w:w="1134"/>
        <w:gridCol w:w="1134"/>
        <w:gridCol w:w="1134"/>
        <w:gridCol w:w="1134"/>
      </w:tblGrid>
      <w:tr w:rsidR="002231B7" w:rsidRPr="00562C41" w:rsidTr="002231B7">
        <w:trPr>
          <w:cnfStyle w:val="100000000000"/>
          <w:trHeight w:val="640"/>
        </w:trPr>
        <w:tc>
          <w:tcPr>
            <w:cnfStyle w:val="001000000000"/>
            <w:tcW w:w="1135" w:type="dxa"/>
            <w:noWrap/>
            <w:hideMark/>
          </w:tcPr>
          <w:p w:rsidR="00C11406" w:rsidRPr="00C11406" w:rsidRDefault="00C11406" w:rsidP="00C11406">
            <w:pPr>
              <w:spacing w:before="0" w:after="0" w:afterAutospacing="0"/>
              <w:rPr>
                <w:rFonts w:asciiTheme="minorHAnsi" w:hAnsiTheme="minorHAnsi" w:cs="Times New Roman"/>
                <w:sz w:val="20"/>
                <w:szCs w:val="20"/>
                <w:lang w:eastAsia="tr-TR"/>
              </w:rPr>
            </w:pPr>
          </w:p>
        </w:tc>
        <w:tc>
          <w:tcPr>
            <w:tcW w:w="1134" w:type="dxa"/>
            <w:hideMark/>
          </w:tcPr>
          <w:p w:rsidR="002231B7" w:rsidRDefault="00C11406" w:rsidP="00C11406">
            <w:pPr>
              <w:spacing w:before="0" w:after="0" w:afterAutospacing="0"/>
              <w:jc w:val="center"/>
              <w:cnfStyle w:val="100000000000"/>
              <w:rPr>
                <w:rFonts w:ascii="Calibri" w:eastAsia="Times New Roman" w:hAnsi="Calibri" w:cs="Times New Roman"/>
                <w:sz w:val="18"/>
                <w:szCs w:val="18"/>
                <w:lang w:eastAsia="tr-TR"/>
              </w:rPr>
            </w:pPr>
            <w:r w:rsidRPr="00C11406">
              <w:rPr>
                <w:rFonts w:ascii="Calibri" w:eastAsia="Times New Roman" w:hAnsi="Calibri" w:cs="Times New Roman"/>
                <w:sz w:val="18"/>
                <w:szCs w:val="18"/>
                <w:lang w:eastAsia="tr-TR"/>
              </w:rPr>
              <w:t>2013</w:t>
            </w:r>
          </w:p>
          <w:p w:rsidR="00C11406" w:rsidRPr="00C11406" w:rsidRDefault="00C11406" w:rsidP="00C11406">
            <w:pPr>
              <w:spacing w:before="0" w:after="0" w:afterAutospacing="0"/>
              <w:jc w:val="center"/>
              <w:cnfStyle w:val="100000000000"/>
              <w:rPr>
                <w:rFonts w:ascii="Calibri" w:eastAsia="Times New Roman" w:hAnsi="Calibri" w:cs="Times New Roman"/>
                <w:sz w:val="18"/>
                <w:szCs w:val="18"/>
                <w:lang w:eastAsia="tr-TR"/>
              </w:rPr>
            </w:pPr>
            <w:r w:rsidRPr="00C11406">
              <w:rPr>
                <w:rFonts w:ascii="Calibri" w:eastAsia="Times New Roman" w:hAnsi="Calibri" w:cs="Times New Roman"/>
                <w:sz w:val="18"/>
                <w:szCs w:val="18"/>
                <w:lang w:eastAsia="tr-TR"/>
              </w:rPr>
              <w:t xml:space="preserve"> Ocak</w:t>
            </w:r>
          </w:p>
        </w:tc>
        <w:tc>
          <w:tcPr>
            <w:tcW w:w="1134" w:type="dxa"/>
            <w:hideMark/>
          </w:tcPr>
          <w:p w:rsidR="00C11406" w:rsidRPr="00C11406" w:rsidRDefault="00C11406" w:rsidP="00C11406">
            <w:pPr>
              <w:spacing w:before="0" w:after="0" w:afterAutospacing="0"/>
              <w:jc w:val="center"/>
              <w:cnfStyle w:val="100000000000"/>
              <w:rPr>
                <w:rFonts w:ascii="Calibri" w:eastAsia="Times New Roman" w:hAnsi="Calibri" w:cs="Times New Roman"/>
                <w:sz w:val="18"/>
                <w:szCs w:val="18"/>
                <w:lang w:eastAsia="tr-TR"/>
              </w:rPr>
            </w:pPr>
            <w:r w:rsidRPr="00C11406">
              <w:rPr>
                <w:rFonts w:ascii="Calibri" w:eastAsia="Times New Roman" w:hAnsi="Calibri" w:cs="Times New Roman"/>
                <w:sz w:val="18"/>
                <w:szCs w:val="18"/>
                <w:lang w:eastAsia="tr-TR"/>
              </w:rPr>
              <w:t>2013 Temmuz</w:t>
            </w:r>
          </w:p>
        </w:tc>
        <w:tc>
          <w:tcPr>
            <w:tcW w:w="1134" w:type="dxa"/>
            <w:hideMark/>
          </w:tcPr>
          <w:p w:rsidR="002231B7" w:rsidRDefault="002231B7" w:rsidP="00C11406">
            <w:pPr>
              <w:spacing w:before="0" w:after="0" w:afterAutospacing="0"/>
              <w:jc w:val="center"/>
              <w:cnfStyle w:val="100000000000"/>
              <w:rPr>
                <w:rFonts w:ascii="Calibri" w:eastAsia="Times New Roman" w:hAnsi="Calibri" w:cs="Times New Roman"/>
                <w:sz w:val="18"/>
                <w:szCs w:val="18"/>
                <w:lang w:eastAsia="tr-TR"/>
              </w:rPr>
            </w:pPr>
            <w:r>
              <w:rPr>
                <w:rFonts w:ascii="Calibri" w:eastAsia="Times New Roman" w:hAnsi="Calibri" w:cs="Times New Roman"/>
                <w:sz w:val="18"/>
                <w:szCs w:val="18"/>
                <w:lang w:eastAsia="tr-TR"/>
              </w:rPr>
              <w:t xml:space="preserve">2014 </w:t>
            </w:r>
          </w:p>
          <w:p w:rsidR="00C11406" w:rsidRPr="00C11406" w:rsidRDefault="002231B7" w:rsidP="00C11406">
            <w:pPr>
              <w:spacing w:before="0" w:after="0" w:afterAutospacing="0"/>
              <w:jc w:val="center"/>
              <w:cnfStyle w:val="100000000000"/>
              <w:rPr>
                <w:rFonts w:ascii="Calibri" w:eastAsia="Times New Roman" w:hAnsi="Calibri" w:cs="Times New Roman"/>
                <w:sz w:val="18"/>
                <w:szCs w:val="18"/>
                <w:lang w:eastAsia="tr-TR"/>
              </w:rPr>
            </w:pPr>
            <w:r>
              <w:rPr>
                <w:rFonts w:ascii="Calibri" w:eastAsia="Times New Roman" w:hAnsi="Calibri" w:cs="Times New Roman"/>
                <w:sz w:val="18"/>
                <w:szCs w:val="18"/>
                <w:lang w:eastAsia="tr-TR"/>
              </w:rPr>
              <w:t>Oca</w:t>
            </w:r>
            <w:r w:rsidR="00C11406" w:rsidRPr="00C11406">
              <w:rPr>
                <w:rFonts w:ascii="Calibri" w:eastAsia="Times New Roman" w:hAnsi="Calibri" w:cs="Times New Roman"/>
                <w:sz w:val="18"/>
                <w:szCs w:val="18"/>
                <w:lang w:eastAsia="tr-TR"/>
              </w:rPr>
              <w:t>k</w:t>
            </w:r>
          </w:p>
        </w:tc>
        <w:tc>
          <w:tcPr>
            <w:tcW w:w="1134" w:type="dxa"/>
            <w:hideMark/>
          </w:tcPr>
          <w:p w:rsidR="00C11406" w:rsidRPr="00C11406" w:rsidRDefault="00C11406" w:rsidP="00C11406">
            <w:pPr>
              <w:spacing w:before="0" w:after="0" w:afterAutospacing="0"/>
              <w:jc w:val="center"/>
              <w:cnfStyle w:val="100000000000"/>
              <w:rPr>
                <w:rFonts w:ascii="Calibri" w:eastAsia="Times New Roman" w:hAnsi="Calibri" w:cs="Times New Roman"/>
                <w:sz w:val="18"/>
                <w:szCs w:val="18"/>
                <w:lang w:eastAsia="tr-TR"/>
              </w:rPr>
            </w:pPr>
            <w:r w:rsidRPr="00C11406">
              <w:rPr>
                <w:rFonts w:ascii="Calibri" w:eastAsia="Times New Roman" w:hAnsi="Calibri" w:cs="Times New Roman"/>
                <w:sz w:val="18"/>
                <w:szCs w:val="18"/>
                <w:lang w:eastAsia="tr-TR"/>
              </w:rPr>
              <w:t>2014 Temmuz</w:t>
            </w:r>
          </w:p>
        </w:tc>
        <w:tc>
          <w:tcPr>
            <w:tcW w:w="1134" w:type="dxa"/>
            <w:hideMark/>
          </w:tcPr>
          <w:p w:rsidR="002231B7" w:rsidRDefault="00C11406" w:rsidP="00C11406">
            <w:pPr>
              <w:spacing w:before="0" w:after="0" w:afterAutospacing="0"/>
              <w:jc w:val="center"/>
              <w:cnfStyle w:val="100000000000"/>
              <w:rPr>
                <w:rFonts w:ascii="Calibri" w:eastAsia="Times New Roman" w:hAnsi="Calibri" w:cs="Times New Roman"/>
                <w:sz w:val="18"/>
                <w:szCs w:val="18"/>
                <w:lang w:eastAsia="tr-TR"/>
              </w:rPr>
            </w:pPr>
            <w:r w:rsidRPr="00C11406">
              <w:rPr>
                <w:rFonts w:ascii="Calibri" w:eastAsia="Times New Roman" w:hAnsi="Calibri" w:cs="Times New Roman"/>
                <w:sz w:val="18"/>
                <w:szCs w:val="18"/>
                <w:lang w:eastAsia="tr-TR"/>
              </w:rPr>
              <w:t xml:space="preserve">2015 </w:t>
            </w:r>
          </w:p>
          <w:p w:rsidR="00C11406" w:rsidRPr="00C11406" w:rsidRDefault="00C11406" w:rsidP="00C11406">
            <w:pPr>
              <w:spacing w:before="0" w:after="0" w:afterAutospacing="0"/>
              <w:jc w:val="center"/>
              <w:cnfStyle w:val="100000000000"/>
              <w:rPr>
                <w:rFonts w:ascii="Calibri" w:eastAsia="Times New Roman" w:hAnsi="Calibri" w:cs="Times New Roman"/>
                <w:sz w:val="18"/>
                <w:szCs w:val="18"/>
                <w:lang w:eastAsia="tr-TR"/>
              </w:rPr>
            </w:pPr>
            <w:r w:rsidRPr="00C11406">
              <w:rPr>
                <w:rFonts w:ascii="Calibri" w:eastAsia="Times New Roman" w:hAnsi="Calibri" w:cs="Times New Roman"/>
                <w:sz w:val="18"/>
                <w:szCs w:val="18"/>
                <w:lang w:eastAsia="tr-TR"/>
              </w:rPr>
              <w:t>Ocak</w:t>
            </w:r>
          </w:p>
        </w:tc>
        <w:tc>
          <w:tcPr>
            <w:tcW w:w="1134" w:type="dxa"/>
            <w:hideMark/>
          </w:tcPr>
          <w:p w:rsidR="00C11406" w:rsidRPr="00C11406" w:rsidRDefault="00C11406" w:rsidP="00C11406">
            <w:pPr>
              <w:spacing w:before="0" w:after="0" w:afterAutospacing="0"/>
              <w:jc w:val="center"/>
              <w:cnfStyle w:val="100000000000"/>
              <w:rPr>
                <w:rFonts w:ascii="Calibri" w:eastAsia="Times New Roman" w:hAnsi="Calibri" w:cs="Times New Roman"/>
                <w:sz w:val="18"/>
                <w:szCs w:val="18"/>
                <w:lang w:eastAsia="tr-TR"/>
              </w:rPr>
            </w:pPr>
            <w:r w:rsidRPr="00C11406">
              <w:rPr>
                <w:rFonts w:ascii="Calibri" w:eastAsia="Times New Roman" w:hAnsi="Calibri" w:cs="Times New Roman"/>
                <w:sz w:val="18"/>
                <w:szCs w:val="18"/>
                <w:lang w:eastAsia="tr-TR"/>
              </w:rPr>
              <w:t>2015 Temmuz</w:t>
            </w:r>
          </w:p>
        </w:tc>
        <w:tc>
          <w:tcPr>
            <w:tcW w:w="1134" w:type="dxa"/>
            <w:hideMark/>
          </w:tcPr>
          <w:p w:rsidR="002231B7" w:rsidRDefault="00C11406" w:rsidP="00C11406">
            <w:pPr>
              <w:spacing w:before="0" w:after="0" w:afterAutospacing="0"/>
              <w:jc w:val="center"/>
              <w:cnfStyle w:val="100000000000"/>
              <w:rPr>
                <w:rFonts w:ascii="Calibri" w:eastAsia="Times New Roman" w:hAnsi="Calibri" w:cs="Times New Roman"/>
                <w:sz w:val="18"/>
                <w:szCs w:val="18"/>
                <w:lang w:eastAsia="tr-TR"/>
              </w:rPr>
            </w:pPr>
            <w:r w:rsidRPr="00C11406">
              <w:rPr>
                <w:rFonts w:ascii="Calibri" w:eastAsia="Times New Roman" w:hAnsi="Calibri" w:cs="Times New Roman"/>
                <w:sz w:val="18"/>
                <w:szCs w:val="18"/>
                <w:lang w:eastAsia="tr-TR"/>
              </w:rPr>
              <w:t xml:space="preserve">2016 </w:t>
            </w:r>
          </w:p>
          <w:p w:rsidR="00C11406" w:rsidRPr="00C11406" w:rsidRDefault="00C11406" w:rsidP="00C11406">
            <w:pPr>
              <w:spacing w:before="0" w:after="0" w:afterAutospacing="0"/>
              <w:jc w:val="center"/>
              <w:cnfStyle w:val="100000000000"/>
              <w:rPr>
                <w:rFonts w:ascii="Calibri" w:eastAsia="Times New Roman" w:hAnsi="Calibri" w:cs="Times New Roman"/>
                <w:sz w:val="18"/>
                <w:szCs w:val="18"/>
                <w:lang w:eastAsia="tr-TR"/>
              </w:rPr>
            </w:pPr>
            <w:r w:rsidRPr="00C11406">
              <w:rPr>
                <w:rFonts w:ascii="Calibri" w:eastAsia="Times New Roman" w:hAnsi="Calibri" w:cs="Times New Roman"/>
                <w:sz w:val="18"/>
                <w:szCs w:val="18"/>
                <w:lang w:eastAsia="tr-TR"/>
              </w:rPr>
              <w:t>Ocak</w:t>
            </w:r>
          </w:p>
        </w:tc>
        <w:tc>
          <w:tcPr>
            <w:tcW w:w="1134" w:type="dxa"/>
            <w:hideMark/>
          </w:tcPr>
          <w:p w:rsidR="00C11406" w:rsidRPr="00C11406" w:rsidRDefault="00C11406" w:rsidP="00C11406">
            <w:pPr>
              <w:spacing w:before="0" w:after="0" w:afterAutospacing="0"/>
              <w:jc w:val="center"/>
              <w:cnfStyle w:val="100000000000"/>
              <w:rPr>
                <w:rFonts w:ascii="Calibri" w:eastAsia="Times New Roman" w:hAnsi="Calibri" w:cs="Times New Roman"/>
                <w:sz w:val="18"/>
                <w:szCs w:val="18"/>
                <w:lang w:eastAsia="tr-TR"/>
              </w:rPr>
            </w:pPr>
            <w:r w:rsidRPr="00C11406">
              <w:rPr>
                <w:rFonts w:ascii="Calibri" w:eastAsia="Times New Roman" w:hAnsi="Calibri" w:cs="Times New Roman"/>
                <w:sz w:val="18"/>
                <w:szCs w:val="18"/>
                <w:lang w:eastAsia="tr-TR"/>
              </w:rPr>
              <w:t>2016 Temmuz</w:t>
            </w:r>
          </w:p>
        </w:tc>
      </w:tr>
      <w:tr w:rsidR="002231B7" w:rsidRPr="00C11406" w:rsidTr="002231B7">
        <w:trPr>
          <w:cnfStyle w:val="000000100000"/>
          <w:trHeight w:val="320"/>
        </w:trPr>
        <w:tc>
          <w:tcPr>
            <w:cnfStyle w:val="001000000000"/>
            <w:tcW w:w="1135" w:type="dxa"/>
            <w:noWrap/>
            <w:hideMark/>
          </w:tcPr>
          <w:p w:rsidR="00C11406" w:rsidRPr="00C11406" w:rsidRDefault="00182E94" w:rsidP="00C11406">
            <w:pPr>
              <w:spacing w:before="0" w:after="0" w:afterAutospacing="0"/>
              <w:rPr>
                <w:rFonts w:ascii="Calibri" w:eastAsia="Times New Roman" w:hAnsi="Calibri" w:cs="Times New Roman"/>
                <w:color w:val="000000"/>
                <w:sz w:val="18"/>
                <w:szCs w:val="18"/>
                <w:lang w:eastAsia="tr-TR"/>
              </w:rPr>
            </w:pPr>
            <w:r>
              <w:rPr>
                <w:rFonts w:ascii="Calibri" w:eastAsia="Times New Roman" w:hAnsi="Calibri" w:cs="Times New Roman"/>
                <w:color w:val="000000"/>
                <w:sz w:val="18"/>
                <w:szCs w:val="18"/>
                <w:lang w:eastAsia="tr-TR"/>
              </w:rPr>
              <w:t>Sigortalı işçi sayısı</w:t>
            </w:r>
          </w:p>
        </w:tc>
        <w:tc>
          <w:tcPr>
            <w:tcW w:w="1134" w:type="dxa"/>
            <w:noWrap/>
            <w:hideMark/>
          </w:tcPr>
          <w:p w:rsidR="00C11406" w:rsidRPr="00C11406" w:rsidRDefault="00C11406" w:rsidP="00C11406">
            <w:pPr>
              <w:spacing w:before="0" w:after="0" w:afterAutospacing="0"/>
              <w:jc w:val="right"/>
              <w:cnfStyle w:val="0000001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10.881.618 </w:t>
            </w:r>
          </w:p>
        </w:tc>
        <w:tc>
          <w:tcPr>
            <w:tcW w:w="1134" w:type="dxa"/>
            <w:noWrap/>
            <w:hideMark/>
          </w:tcPr>
          <w:p w:rsidR="00C11406" w:rsidRPr="00C11406" w:rsidRDefault="00C11406" w:rsidP="00C11406">
            <w:pPr>
              <w:spacing w:before="0" w:after="0" w:afterAutospacing="0"/>
              <w:jc w:val="right"/>
              <w:cnfStyle w:val="0000001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11.628.806 </w:t>
            </w:r>
          </w:p>
        </w:tc>
        <w:tc>
          <w:tcPr>
            <w:tcW w:w="1134" w:type="dxa"/>
            <w:noWrap/>
            <w:hideMark/>
          </w:tcPr>
          <w:p w:rsidR="00C11406" w:rsidRPr="00C11406" w:rsidRDefault="00C11406" w:rsidP="00C11406">
            <w:pPr>
              <w:spacing w:before="0" w:after="0" w:afterAutospacing="0"/>
              <w:jc w:val="right"/>
              <w:cnfStyle w:val="0000001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11.600.554 </w:t>
            </w:r>
          </w:p>
        </w:tc>
        <w:tc>
          <w:tcPr>
            <w:tcW w:w="1134" w:type="dxa"/>
            <w:noWrap/>
            <w:hideMark/>
          </w:tcPr>
          <w:p w:rsidR="00C11406" w:rsidRPr="00C11406" w:rsidRDefault="00C11406" w:rsidP="00C11406">
            <w:pPr>
              <w:spacing w:before="0" w:after="0" w:afterAutospacing="0"/>
              <w:jc w:val="right"/>
              <w:cnfStyle w:val="0000001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12.287.238 </w:t>
            </w:r>
          </w:p>
        </w:tc>
        <w:tc>
          <w:tcPr>
            <w:tcW w:w="1134" w:type="dxa"/>
            <w:noWrap/>
            <w:hideMark/>
          </w:tcPr>
          <w:p w:rsidR="00C11406" w:rsidRPr="00C11406" w:rsidRDefault="00C11406" w:rsidP="00C11406">
            <w:pPr>
              <w:spacing w:before="0" w:after="0" w:afterAutospacing="0"/>
              <w:jc w:val="right"/>
              <w:cnfStyle w:val="0000001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12.180.945 </w:t>
            </w:r>
          </w:p>
        </w:tc>
        <w:tc>
          <w:tcPr>
            <w:tcW w:w="1134" w:type="dxa"/>
            <w:noWrap/>
            <w:hideMark/>
          </w:tcPr>
          <w:p w:rsidR="00C11406" w:rsidRPr="00C11406" w:rsidRDefault="00C11406" w:rsidP="00C11406">
            <w:pPr>
              <w:spacing w:before="0" w:after="0" w:afterAutospacing="0"/>
              <w:jc w:val="right"/>
              <w:cnfStyle w:val="0000001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12.744.685 </w:t>
            </w:r>
          </w:p>
        </w:tc>
        <w:tc>
          <w:tcPr>
            <w:tcW w:w="1134" w:type="dxa"/>
            <w:noWrap/>
            <w:hideMark/>
          </w:tcPr>
          <w:p w:rsidR="00C11406" w:rsidRPr="00C11406" w:rsidRDefault="00C11406" w:rsidP="00C11406">
            <w:pPr>
              <w:spacing w:before="0" w:after="0" w:afterAutospacing="0"/>
              <w:jc w:val="right"/>
              <w:cnfStyle w:val="0000001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12.663.783 </w:t>
            </w:r>
          </w:p>
        </w:tc>
        <w:tc>
          <w:tcPr>
            <w:tcW w:w="1134" w:type="dxa"/>
            <w:noWrap/>
            <w:hideMark/>
          </w:tcPr>
          <w:p w:rsidR="00C11406" w:rsidRPr="00C11406" w:rsidRDefault="00C11406" w:rsidP="00C11406">
            <w:pPr>
              <w:spacing w:before="0" w:after="0" w:afterAutospacing="0"/>
              <w:jc w:val="right"/>
              <w:cnfStyle w:val="0000001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13.038.351 </w:t>
            </w:r>
          </w:p>
        </w:tc>
      </w:tr>
      <w:tr w:rsidR="00562C41" w:rsidRPr="00C11406" w:rsidTr="002231B7">
        <w:trPr>
          <w:trHeight w:val="320"/>
        </w:trPr>
        <w:tc>
          <w:tcPr>
            <w:cnfStyle w:val="001000000000"/>
            <w:tcW w:w="1135" w:type="dxa"/>
            <w:noWrap/>
            <w:hideMark/>
          </w:tcPr>
          <w:p w:rsidR="00C11406" w:rsidRPr="00C11406" w:rsidRDefault="00C11406" w:rsidP="00C11406">
            <w:pPr>
              <w:spacing w:before="0" w:after="0" w:afterAutospacing="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Üye Sayısı</w:t>
            </w:r>
          </w:p>
        </w:tc>
        <w:tc>
          <w:tcPr>
            <w:tcW w:w="1134" w:type="dxa"/>
            <w:noWrap/>
            <w:hideMark/>
          </w:tcPr>
          <w:p w:rsidR="00C11406" w:rsidRPr="00C11406" w:rsidRDefault="00C11406" w:rsidP="00C11406">
            <w:pPr>
              <w:spacing w:before="0" w:after="0" w:afterAutospacing="0"/>
              <w:jc w:val="right"/>
              <w:cnfStyle w:val="0000000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1.001.671 </w:t>
            </w:r>
          </w:p>
        </w:tc>
        <w:tc>
          <w:tcPr>
            <w:tcW w:w="1134" w:type="dxa"/>
            <w:noWrap/>
            <w:hideMark/>
          </w:tcPr>
          <w:p w:rsidR="00C11406" w:rsidRPr="00C11406" w:rsidRDefault="00C11406" w:rsidP="00C11406">
            <w:pPr>
              <w:spacing w:before="0" w:after="0" w:afterAutospacing="0"/>
              <w:jc w:val="right"/>
              <w:cnfStyle w:val="0000000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1.032.166 </w:t>
            </w:r>
          </w:p>
        </w:tc>
        <w:tc>
          <w:tcPr>
            <w:tcW w:w="1134" w:type="dxa"/>
            <w:noWrap/>
            <w:hideMark/>
          </w:tcPr>
          <w:p w:rsidR="00C11406" w:rsidRPr="00C11406" w:rsidRDefault="00C11406" w:rsidP="00C11406">
            <w:pPr>
              <w:spacing w:before="0" w:after="0" w:afterAutospacing="0"/>
              <w:jc w:val="right"/>
              <w:cnfStyle w:val="0000000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1.096.540 </w:t>
            </w:r>
          </w:p>
        </w:tc>
        <w:tc>
          <w:tcPr>
            <w:tcW w:w="1134" w:type="dxa"/>
            <w:noWrap/>
            <w:hideMark/>
          </w:tcPr>
          <w:p w:rsidR="00C11406" w:rsidRPr="00C11406" w:rsidRDefault="00C11406" w:rsidP="00C11406">
            <w:pPr>
              <w:spacing w:before="0" w:after="0" w:afterAutospacing="0"/>
              <w:jc w:val="right"/>
              <w:cnfStyle w:val="0000000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1.189.481 </w:t>
            </w:r>
          </w:p>
        </w:tc>
        <w:tc>
          <w:tcPr>
            <w:tcW w:w="1134" w:type="dxa"/>
            <w:noWrap/>
            <w:hideMark/>
          </w:tcPr>
          <w:p w:rsidR="00C11406" w:rsidRPr="00C11406" w:rsidRDefault="00C11406" w:rsidP="00C11406">
            <w:pPr>
              <w:spacing w:before="0" w:after="0" w:afterAutospacing="0"/>
              <w:jc w:val="right"/>
              <w:cnfStyle w:val="0000000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1.297.464 </w:t>
            </w:r>
          </w:p>
        </w:tc>
        <w:tc>
          <w:tcPr>
            <w:tcW w:w="1134" w:type="dxa"/>
            <w:noWrap/>
            <w:hideMark/>
          </w:tcPr>
          <w:p w:rsidR="00C11406" w:rsidRPr="00C11406" w:rsidRDefault="00C11406" w:rsidP="00C11406">
            <w:pPr>
              <w:spacing w:before="0" w:after="0" w:afterAutospacing="0"/>
              <w:jc w:val="right"/>
              <w:cnfStyle w:val="0000000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1.429.056 </w:t>
            </w:r>
          </w:p>
        </w:tc>
        <w:tc>
          <w:tcPr>
            <w:tcW w:w="1134" w:type="dxa"/>
            <w:noWrap/>
            <w:hideMark/>
          </w:tcPr>
          <w:p w:rsidR="00C11406" w:rsidRPr="00C11406" w:rsidRDefault="00C11406" w:rsidP="00C11406">
            <w:pPr>
              <w:spacing w:before="0" w:after="0" w:afterAutospacing="0"/>
              <w:jc w:val="right"/>
              <w:cnfStyle w:val="0000000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1.514.053 </w:t>
            </w:r>
          </w:p>
        </w:tc>
        <w:tc>
          <w:tcPr>
            <w:tcW w:w="1134" w:type="dxa"/>
            <w:noWrap/>
            <w:hideMark/>
          </w:tcPr>
          <w:p w:rsidR="00C11406" w:rsidRPr="00C11406" w:rsidRDefault="00C11406" w:rsidP="00C11406">
            <w:pPr>
              <w:spacing w:before="0" w:after="0" w:afterAutospacing="0"/>
              <w:jc w:val="right"/>
              <w:cnfStyle w:val="0000000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1.499.860 </w:t>
            </w:r>
          </w:p>
        </w:tc>
      </w:tr>
      <w:tr w:rsidR="002231B7" w:rsidRPr="00C11406" w:rsidTr="002231B7">
        <w:trPr>
          <w:cnfStyle w:val="000000100000"/>
          <w:trHeight w:val="320"/>
        </w:trPr>
        <w:tc>
          <w:tcPr>
            <w:cnfStyle w:val="001000000000"/>
            <w:tcW w:w="1135" w:type="dxa"/>
            <w:noWrap/>
            <w:hideMark/>
          </w:tcPr>
          <w:p w:rsidR="00C11406" w:rsidRPr="00C11406" w:rsidRDefault="00C11406" w:rsidP="00C11406">
            <w:pPr>
              <w:spacing w:before="0" w:after="0" w:afterAutospacing="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Üye artışı</w:t>
            </w:r>
          </w:p>
        </w:tc>
        <w:tc>
          <w:tcPr>
            <w:tcW w:w="1134" w:type="dxa"/>
            <w:noWrap/>
            <w:hideMark/>
          </w:tcPr>
          <w:p w:rsidR="00C11406" w:rsidRPr="00C11406" w:rsidRDefault="00C11406" w:rsidP="00C11406">
            <w:pPr>
              <w:spacing w:before="0" w:after="0" w:afterAutospacing="0"/>
              <w:cnfStyle w:val="000000100000"/>
              <w:rPr>
                <w:rFonts w:ascii="Calibri" w:eastAsia="Times New Roman" w:hAnsi="Calibri" w:cs="Times New Roman"/>
                <w:color w:val="000000"/>
                <w:sz w:val="18"/>
                <w:szCs w:val="18"/>
                <w:lang w:eastAsia="tr-TR"/>
              </w:rPr>
            </w:pPr>
          </w:p>
        </w:tc>
        <w:tc>
          <w:tcPr>
            <w:tcW w:w="1134" w:type="dxa"/>
            <w:noWrap/>
            <w:hideMark/>
          </w:tcPr>
          <w:p w:rsidR="00C11406" w:rsidRPr="00C11406" w:rsidRDefault="00C11406" w:rsidP="00C11406">
            <w:pPr>
              <w:spacing w:before="0" w:after="0" w:afterAutospacing="0"/>
              <w:jc w:val="right"/>
              <w:cnfStyle w:val="0000001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30.495 </w:t>
            </w:r>
          </w:p>
        </w:tc>
        <w:tc>
          <w:tcPr>
            <w:tcW w:w="1134" w:type="dxa"/>
            <w:noWrap/>
            <w:hideMark/>
          </w:tcPr>
          <w:p w:rsidR="00C11406" w:rsidRPr="00C11406" w:rsidRDefault="00C11406" w:rsidP="00C11406">
            <w:pPr>
              <w:spacing w:before="0" w:after="0" w:afterAutospacing="0"/>
              <w:jc w:val="right"/>
              <w:cnfStyle w:val="0000001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64.374 </w:t>
            </w:r>
          </w:p>
        </w:tc>
        <w:tc>
          <w:tcPr>
            <w:tcW w:w="1134" w:type="dxa"/>
            <w:noWrap/>
            <w:hideMark/>
          </w:tcPr>
          <w:p w:rsidR="00C11406" w:rsidRPr="00C11406" w:rsidRDefault="00C11406" w:rsidP="00C11406">
            <w:pPr>
              <w:spacing w:before="0" w:after="0" w:afterAutospacing="0"/>
              <w:jc w:val="right"/>
              <w:cnfStyle w:val="0000001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92.941 </w:t>
            </w:r>
          </w:p>
        </w:tc>
        <w:tc>
          <w:tcPr>
            <w:tcW w:w="1134" w:type="dxa"/>
            <w:noWrap/>
            <w:hideMark/>
          </w:tcPr>
          <w:p w:rsidR="00C11406" w:rsidRPr="00C11406" w:rsidRDefault="00C11406" w:rsidP="00C11406">
            <w:pPr>
              <w:spacing w:before="0" w:after="0" w:afterAutospacing="0"/>
              <w:jc w:val="right"/>
              <w:cnfStyle w:val="0000001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107.983 </w:t>
            </w:r>
          </w:p>
        </w:tc>
        <w:tc>
          <w:tcPr>
            <w:tcW w:w="1134" w:type="dxa"/>
            <w:noWrap/>
            <w:hideMark/>
          </w:tcPr>
          <w:p w:rsidR="00C11406" w:rsidRPr="00C11406" w:rsidRDefault="00C11406" w:rsidP="00C11406">
            <w:pPr>
              <w:spacing w:before="0" w:after="0" w:afterAutospacing="0"/>
              <w:jc w:val="right"/>
              <w:cnfStyle w:val="0000001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131.592 </w:t>
            </w:r>
          </w:p>
        </w:tc>
        <w:tc>
          <w:tcPr>
            <w:tcW w:w="1134" w:type="dxa"/>
            <w:noWrap/>
            <w:hideMark/>
          </w:tcPr>
          <w:p w:rsidR="00C11406" w:rsidRPr="00C11406" w:rsidRDefault="00C11406" w:rsidP="00C11406">
            <w:pPr>
              <w:spacing w:before="0" w:after="0" w:afterAutospacing="0"/>
              <w:jc w:val="right"/>
              <w:cnfStyle w:val="0000001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 84.997 </w:t>
            </w:r>
          </w:p>
        </w:tc>
        <w:tc>
          <w:tcPr>
            <w:tcW w:w="1134" w:type="dxa"/>
            <w:noWrap/>
            <w:hideMark/>
          </w:tcPr>
          <w:p w:rsidR="00C11406" w:rsidRPr="00C11406" w:rsidRDefault="00C11406" w:rsidP="00C11406">
            <w:pPr>
              <w:spacing w:before="0" w:after="0" w:afterAutospacing="0"/>
              <w:jc w:val="right"/>
              <w:cnfStyle w:val="0000001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 xml:space="preserve">-14.193 </w:t>
            </w:r>
          </w:p>
        </w:tc>
      </w:tr>
      <w:tr w:rsidR="00562C41" w:rsidRPr="00C11406" w:rsidTr="002231B7">
        <w:trPr>
          <w:trHeight w:val="320"/>
        </w:trPr>
        <w:tc>
          <w:tcPr>
            <w:cnfStyle w:val="001000000000"/>
            <w:tcW w:w="1135" w:type="dxa"/>
            <w:noWrap/>
            <w:hideMark/>
          </w:tcPr>
          <w:p w:rsidR="00C11406" w:rsidRPr="00C11406" w:rsidRDefault="00C11406" w:rsidP="00C11406">
            <w:pPr>
              <w:spacing w:before="0" w:after="0" w:afterAutospacing="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Oran</w:t>
            </w:r>
          </w:p>
        </w:tc>
        <w:tc>
          <w:tcPr>
            <w:tcW w:w="1134" w:type="dxa"/>
            <w:noWrap/>
            <w:hideMark/>
          </w:tcPr>
          <w:p w:rsidR="00C11406" w:rsidRPr="00C11406" w:rsidRDefault="00C11406" w:rsidP="00C11406">
            <w:pPr>
              <w:spacing w:before="0" w:after="0" w:afterAutospacing="0"/>
              <w:jc w:val="right"/>
              <w:cnfStyle w:val="0000000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9,2%</w:t>
            </w:r>
          </w:p>
        </w:tc>
        <w:tc>
          <w:tcPr>
            <w:tcW w:w="1134" w:type="dxa"/>
            <w:noWrap/>
            <w:hideMark/>
          </w:tcPr>
          <w:p w:rsidR="00C11406" w:rsidRPr="00C11406" w:rsidRDefault="00C11406" w:rsidP="00C11406">
            <w:pPr>
              <w:spacing w:before="0" w:after="0" w:afterAutospacing="0"/>
              <w:jc w:val="right"/>
              <w:cnfStyle w:val="0000000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8,9%</w:t>
            </w:r>
          </w:p>
        </w:tc>
        <w:tc>
          <w:tcPr>
            <w:tcW w:w="1134" w:type="dxa"/>
            <w:noWrap/>
            <w:hideMark/>
          </w:tcPr>
          <w:p w:rsidR="00C11406" w:rsidRPr="00C11406" w:rsidRDefault="00C11406" w:rsidP="00C11406">
            <w:pPr>
              <w:spacing w:before="0" w:after="0" w:afterAutospacing="0"/>
              <w:jc w:val="right"/>
              <w:cnfStyle w:val="0000000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9,5%</w:t>
            </w:r>
          </w:p>
        </w:tc>
        <w:tc>
          <w:tcPr>
            <w:tcW w:w="1134" w:type="dxa"/>
            <w:noWrap/>
            <w:hideMark/>
          </w:tcPr>
          <w:p w:rsidR="00C11406" w:rsidRPr="00C11406" w:rsidRDefault="00C11406" w:rsidP="00C11406">
            <w:pPr>
              <w:spacing w:before="0" w:after="0" w:afterAutospacing="0"/>
              <w:jc w:val="right"/>
              <w:cnfStyle w:val="0000000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9,7%</w:t>
            </w:r>
          </w:p>
        </w:tc>
        <w:tc>
          <w:tcPr>
            <w:tcW w:w="1134" w:type="dxa"/>
            <w:noWrap/>
            <w:hideMark/>
          </w:tcPr>
          <w:p w:rsidR="00C11406" w:rsidRPr="00C11406" w:rsidRDefault="00C11406" w:rsidP="00C11406">
            <w:pPr>
              <w:spacing w:before="0" w:after="0" w:afterAutospacing="0"/>
              <w:jc w:val="right"/>
              <w:cnfStyle w:val="0000000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10,7%</w:t>
            </w:r>
          </w:p>
        </w:tc>
        <w:tc>
          <w:tcPr>
            <w:tcW w:w="1134" w:type="dxa"/>
            <w:noWrap/>
            <w:hideMark/>
          </w:tcPr>
          <w:p w:rsidR="00C11406" w:rsidRPr="00C11406" w:rsidRDefault="00C11406" w:rsidP="00C11406">
            <w:pPr>
              <w:spacing w:before="0" w:after="0" w:afterAutospacing="0"/>
              <w:jc w:val="right"/>
              <w:cnfStyle w:val="0000000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11,2%</w:t>
            </w:r>
          </w:p>
        </w:tc>
        <w:tc>
          <w:tcPr>
            <w:tcW w:w="1134" w:type="dxa"/>
            <w:noWrap/>
            <w:hideMark/>
          </w:tcPr>
          <w:p w:rsidR="00C11406" w:rsidRPr="00C11406" w:rsidRDefault="00C11406" w:rsidP="00C11406">
            <w:pPr>
              <w:spacing w:before="0" w:after="0" w:afterAutospacing="0"/>
              <w:jc w:val="right"/>
              <w:cnfStyle w:val="0000000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12,0%</w:t>
            </w:r>
          </w:p>
        </w:tc>
        <w:tc>
          <w:tcPr>
            <w:tcW w:w="1134" w:type="dxa"/>
            <w:noWrap/>
            <w:hideMark/>
          </w:tcPr>
          <w:p w:rsidR="00C11406" w:rsidRPr="00C11406" w:rsidRDefault="00C11406" w:rsidP="00C11406">
            <w:pPr>
              <w:spacing w:before="0" w:after="0" w:afterAutospacing="0"/>
              <w:jc w:val="right"/>
              <w:cnfStyle w:val="000000000000"/>
              <w:rPr>
                <w:rFonts w:ascii="Calibri" w:eastAsia="Times New Roman" w:hAnsi="Calibri" w:cs="Times New Roman"/>
                <w:color w:val="000000"/>
                <w:sz w:val="18"/>
                <w:szCs w:val="18"/>
                <w:lang w:eastAsia="tr-TR"/>
              </w:rPr>
            </w:pPr>
            <w:r w:rsidRPr="00C11406">
              <w:rPr>
                <w:rFonts w:ascii="Calibri" w:eastAsia="Times New Roman" w:hAnsi="Calibri" w:cs="Times New Roman"/>
                <w:color w:val="000000"/>
                <w:sz w:val="18"/>
                <w:szCs w:val="18"/>
                <w:lang w:eastAsia="tr-TR"/>
              </w:rPr>
              <w:t>11,5%</w:t>
            </w:r>
          </w:p>
        </w:tc>
      </w:tr>
    </w:tbl>
    <w:p w:rsidR="002E7943" w:rsidRDefault="002E7943" w:rsidP="002E7943">
      <w:pPr>
        <w:pStyle w:val="Dipnot"/>
      </w:pPr>
      <w:r>
        <w:t>Kaynak: ÇSGB, Temmuz 2016 İstatistikleri</w:t>
      </w:r>
    </w:p>
    <w:p w:rsidR="001A216B" w:rsidRDefault="001A216B" w:rsidP="001A216B">
      <w:r>
        <w:rPr>
          <w:rFonts w:eastAsia="Avenir Medium" w:cs="Avenir Medium"/>
          <w:szCs w:val="22"/>
        </w:rPr>
        <w:lastRenderedPageBreak/>
        <w:t xml:space="preserve">Sendikalı işçi sayısı 2013-2016 döneminde yüzde 50 artışla 1 milyondan 1 milyon 500 bin civarına çıktı. Tablo 1’de de görüldüğü gibi 2013 yılından bu yana düzenli olarak ve yüksek miktarlarda artan sendikalı işçi sayısı, 2016 Temmuz ayında bu eğilimi terk ederek durgunlaşmıştır. Aksiyon-İş’in 30 bin civarında üyesi olduğu dikkate alınacak olursa, Aksiyon-İş sendikaları kapatılmamış olsaydı, sendika üye sayılarında Temmuz 2016’da 15 bin civarında artış olacaktı. Temmuz 2015’te 130 binin üzerinde işçi sendikalı olurken 2016 Temmuz ayında sendika üyeliği durma noktasına gelmiştir. Önceki dönemlerle karşılaştırıldığında bunun ciddi bir durgunluk anlamına geldiği açıktır. Özellikle son iki yılda sendika üyeliğinde görülen hızlı artış eğilimi sona ermiştir. Son iki yılda görülen hızlı artışın en önemli nedeninin taşeron işçilerin sendikalaşması olduğu söylenebilir. </w:t>
      </w:r>
    </w:p>
    <w:p w:rsidR="00E825F0" w:rsidRDefault="00E825F0" w:rsidP="00E825F0">
      <w:pPr>
        <w:pStyle w:val="Balk3"/>
      </w:pPr>
      <w:r>
        <w:t>İşkollarına göre sendikalaşma</w:t>
      </w:r>
    </w:p>
    <w:p w:rsidR="001A216B" w:rsidRDefault="001A216B" w:rsidP="001A216B">
      <w:r>
        <w:rPr>
          <w:rFonts w:eastAsia="Avenir Medium" w:cs="Avenir Medium"/>
          <w:szCs w:val="22"/>
        </w:rPr>
        <w:t xml:space="preserve">ÇSGB verilerine göre sendikalaşma oranları işkolları açısından da büyük farklılıklar göstermektedir. İnşaat, turizm ve büro işkolu en düşük sendikalaşma oranına sahip işkollarıdır (Tablo 2). </w:t>
      </w:r>
    </w:p>
    <w:p w:rsidR="002849BF" w:rsidRDefault="002849BF" w:rsidP="00780CC9">
      <w:pPr>
        <w:pStyle w:val="Balk3"/>
      </w:pPr>
      <w:r>
        <w:t>Tablo</w:t>
      </w:r>
      <w:r w:rsidR="002D0D15">
        <w:t xml:space="preserve"> 2</w:t>
      </w:r>
      <w:r>
        <w:t xml:space="preserve">: İşkollarına göre işçi ve sendikalı işçi sayısı </w:t>
      </w:r>
      <w:proofErr w:type="gramStart"/>
      <w:r>
        <w:t>temmuz</w:t>
      </w:r>
      <w:proofErr w:type="gramEnd"/>
      <w:r>
        <w:t xml:space="preserve"> 2016</w:t>
      </w:r>
    </w:p>
    <w:tbl>
      <w:tblPr>
        <w:tblStyle w:val="GridTable4Accent1"/>
        <w:tblW w:w="8978" w:type="dxa"/>
        <w:tblInd w:w="247" w:type="dxa"/>
        <w:tblLook w:val="04A0"/>
      </w:tblPr>
      <w:tblGrid>
        <w:gridCol w:w="4739"/>
        <w:gridCol w:w="1311"/>
        <w:gridCol w:w="1464"/>
        <w:gridCol w:w="1464"/>
      </w:tblGrid>
      <w:tr w:rsidR="005A6F3F" w:rsidRPr="005A6F3F" w:rsidTr="00245F6B">
        <w:trPr>
          <w:cnfStyle w:val="100000000000"/>
          <w:trHeight w:val="320"/>
        </w:trPr>
        <w:tc>
          <w:tcPr>
            <w:cnfStyle w:val="001000000000"/>
            <w:tcW w:w="4739" w:type="dxa"/>
            <w:noWrap/>
            <w:hideMark/>
          </w:tcPr>
          <w:p w:rsidR="005A6F3F" w:rsidRPr="005A6F3F" w:rsidRDefault="000F3D7A" w:rsidP="005A6F3F">
            <w:pPr>
              <w:spacing w:before="0" w:after="0" w:afterAutospacing="0"/>
              <w:rPr>
                <w:rFonts w:asciiTheme="minorHAnsi" w:hAnsiTheme="minorHAnsi" w:cs="Times New Roman"/>
                <w:sz w:val="20"/>
                <w:szCs w:val="20"/>
                <w:lang w:eastAsia="tr-TR"/>
              </w:rPr>
            </w:pPr>
            <w:r>
              <w:rPr>
                <w:rFonts w:asciiTheme="minorHAnsi" w:hAnsiTheme="minorHAnsi" w:cs="Times New Roman"/>
                <w:sz w:val="20"/>
                <w:szCs w:val="20"/>
                <w:lang w:eastAsia="tr-TR"/>
              </w:rPr>
              <w:t>İşkolu</w:t>
            </w:r>
          </w:p>
        </w:tc>
        <w:tc>
          <w:tcPr>
            <w:tcW w:w="1311" w:type="dxa"/>
            <w:noWrap/>
            <w:hideMark/>
          </w:tcPr>
          <w:p w:rsidR="005A6F3F" w:rsidRPr="005A6F3F" w:rsidRDefault="005A6F3F" w:rsidP="000F3D7A">
            <w:pPr>
              <w:spacing w:before="0" w:after="0" w:afterAutospacing="0"/>
              <w:jc w:val="center"/>
              <w:cnfStyle w:val="100000000000"/>
              <w:rPr>
                <w:rFonts w:ascii="Calibri" w:eastAsia="Times New Roman" w:hAnsi="Calibri" w:cs="Times New Roman"/>
                <w:sz w:val="20"/>
                <w:szCs w:val="20"/>
                <w:lang w:eastAsia="tr-TR"/>
              </w:rPr>
            </w:pPr>
            <w:r w:rsidRPr="005A6F3F">
              <w:rPr>
                <w:rFonts w:ascii="Calibri" w:eastAsia="Times New Roman" w:hAnsi="Calibri" w:cs="Times New Roman"/>
                <w:sz w:val="20"/>
                <w:szCs w:val="20"/>
                <w:lang w:eastAsia="tr-TR"/>
              </w:rPr>
              <w:t>İşçi</w:t>
            </w:r>
            <w:r w:rsidR="000F3D7A">
              <w:rPr>
                <w:rFonts w:ascii="Calibri" w:eastAsia="Times New Roman" w:hAnsi="Calibri" w:cs="Times New Roman"/>
                <w:sz w:val="20"/>
                <w:szCs w:val="20"/>
                <w:lang w:eastAsia="tr-TR"/>
              </w:rPr>
              <w:t xml:space="preserve"> Sayısı</w:t>
            </w:r>
          </w:p>
        </w:tc>
        <w:tc>
          <w:tcPr>
            <w:tcW w:w="1464" w:type="dxa"/>
            <w:noWrap/>
            <w:hideMark/>
          </w:tcPr>
          <w:p w:rsidR="005A6F3F" w:rsidRPr="005A6F3F" w:rsidRDefault="005A6F3F" w:rsidP="000F3D7A">
            <w:pPr>
              <w:spacing w:before="0" w:after="0" w:afterAutospacing="0"/>
              <w:jc w:val="center"/>
              <w:cnfStyle w:val="100000000000"/>
              <w:rPr>
                <w:rFonts w:ascii="Calibri" w:eastAsia="Times New Roman" w:hAnsi="Calibri" w:cs="Times New Roman"/>
                <w:sz w:val="20"/>
                <w:szCs w:val="20"/>
                <w:lang w:eastAsia="tr-TR"/>
              </w:rPr>
            </w:pPr>
            <w:r w:rsidRPr="005A6F3F">
              <w:rPr>
                <w:rFonts w:ascii="Calibri" w:eastAsia="Times New Roman" w:hAnsi="Calibri" w:cs="Times New Roman"/>
                <w:sz w:val="20"/>
                <w:szCs w:val="20"/>
                <w:lang w:eastAsia="tr-TR"/>
              </w:rPr>
              <w:t>Üye</w:t>
            </w:r>
            <w:r w:rsidR="000F3D7A">
              <w:rPr>
                <w:rFonts w:ascii="Calibri" w:eastAsia="Times New Roman" w:hAnsi="Calibri" w:cs="Times New Roman"/>
                <w:sz w:val="20"/>
                <w:szCs w:val="20"/>
                <w:lang w:eastAsia="tr-TR"/>
              </w:rPr>
              <w:t xml:space="preserve"> Sayısı</w:t>
            </w:r>
          </w:p>
        </w:tc>
        <w:tc>
          <w:tcPr>
            <w:tcW w:w="1464" w:type="dxa"/>
            <w:noWrap/>
            <w:hideMark/>
          </w:tcPr>
          <w:p w:rsidR="005A6F3F" w:rsidRPr="005A6F3F" w:rsidRDefault="005A6F3F" w:rsidP="000F3D7A">
            <w:pPr>
              <w:spacing w:before="0" w:after="0" w:afterAutospacing="0"/>
              <w:jc w:val="center"/>
              <w:cnfStyle w:val="100000000000"/>
              <w:rPr>
                <w:rFonts w:ascii="Calibri" w:eastAsia="Times New Roman" w:hAnsi="Calibri" w:cs="Times New Roman"/>
                <w:sz w:val="20"/>
                <w:szCs w:val="20"/>
                <w:lang w:eastAsia="tr-TR"/>
              </w:rPr>
            </w:pPr>
            <w:r w:rsidRPr="005A6F3F">
              <w:rPr>
                <w:rFonts w:ascii="Calibri" w:eastAsia="Times New Roman" w:hAnsi="Calibri" w:cs="Times New Roman"/>
                <w:sz w:val="20"/>
                <w:szCs w:val="20"/>
                <w:lang w:eastAsia="tr-TR"/>
              </w:rPr>
              <w:t>Oran</w:t>
            </w:r>
          </w:p>
        </w:tc>
      </w:tr>
      <w:tr w:rsidR="005A6F3F" w:rsidRPr="005A6F3F" w:rsidTr="00245F6B">
        <w:trPr>
          <w:cnfStyle w:val="000000100000"/>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Ağaç ve kâğıt</w:t>
            </w:r>
          </w:p>
        </w:tc>
        <w:tc>
          <w:tcPr>
            <w:tcW w:w="1311"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236.371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20.205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8,5%</w:t>
            </w:r>
          </w:p>
        </w:tc>
      </w:tr>
      <w:tr w:rsidR="005A6F3F" w:rsidRPr="005A6F3F" w:rsidTr="00245F6B">
        <w:trPr>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Avcılık, balıkçılık, tarım ve ormancılık</w:t>
            </w:r>
          </w:p>
        </w:tc>
        <w:tc>
          <w:tcPr>
            <w:tcW w:w="1311"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149.129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36.386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24,4%</w:t>
            </w:r>
          </w:p>
        </w:tc>
      </w:tr>
      <w:tr w:rsidR="005A6F3F" w:rsidRPr="005A6F3F" w:rsidTr="00245F6B">
        <w:trPr>
          <w:cnfStyle w:val="000000100000"/>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Banka, finans ve sigorta</w:t>
            </w:r>
          </w:p>
        </w:tc>
        <w:tc>
          <w:tcPr>
            <w:tcW w:w="1311"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297.093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104.487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35,2%</w:t>
            </w:r>
          </w:p>
        </w:tc>
      </w:tr>
      <w:tr w:rsidR="005A6F3F" w:rsidRPr="005A6F3F" w:rsidTr="00245F6B">
        <w:trPr>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Basın, yayın ve gazetecilik</w:t>
            </w:r>
          </w:p>
        </w:tc>
        <w:tc>
          <w:tcPr>
            <w:tcW w:w="1311"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94.167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5.518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5,9%</w:t>
            </w:r>
          </w:p>
        </w:tc>
      </w:tr>
      <w:tr w:rsidR="005A6F3F" w:rsidRPr="005A6F3F" w:rsidTr="00245F6B">
        <w:trPr>
          <w:cnfStyle w:val="000000100000"/>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Çimento, toprak ve cam</w:t>
            </w:r>
          </w:p>
        </w:tc>
        <w:tc>
          <w:tcPr>
            <w:tcW w:w="1311"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170.961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33.320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19,5%</w:t>
            </w:r>
          </w:p>
        </w:tc>
      </w:tr>
      <w:tr w:rsidR="005A6F3F" w:rsidRPr="005A6F3F" w:rsidTr="00245F6B">
        <w:trPr>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Dokuma, hazır giyim ve deri</w:t>
            </w:r>
          </w:p>
        </w:tc>
        <w:tc>
          <w:tcPr>
            <w:tcW w:w="1311"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985.106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91.080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9,2%</w:t>
            </w:r>
          </w:p>
        </w:tc>
      </w:tr>
      <w:tr w:rsidR="005A6F3F" w:rsidRPr="005A6F3F" w:rsidTr="00245F6B">
        <w:trPr>
          <w:cnfStyle w:val="000000100000"/>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Enerji</w:t>
            </w:r>
          </w:p>
        </w:tc>
        <w:tc>
          <w:tcPr>
            <w:tcW w:w="1311"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241.116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64.676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26,8%</w:t>
            </w:r>
          </w:p>
        </w:tc>
      </w:tr>
      <w:tr w:rsidR="005A6F3F" w:rsidRPr="005A6F3F" w:rsidTr="00245F6B">
        <w:trPr>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Gemi yapımı ve deniz taşımacılığı, ardiye ve antrepoculuk</w:t>
            </w:r>
          </w:p>
        </w:tc>
        <w:tc>
          <w:tcPr>
            <w:tcW w:w="1311"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167.016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13.414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8,0%</w:t>
            </w:r>
          </w:p>
        </w:tc>
      </w:tr>
      <w:tr w:rsidR="005A6F3F" w:rsidRPr="005A6F3F" w:rsidTr="00245F6B">
        <w:trPr>
          <w:cnfStyle w:val="000000100000"/>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Genel işler</w:t>
            </w:r>
          </w:p>
        </w:tc>
        <w:tc>
          <w:tcPr>
            <w:tcW w:w="1311"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962.131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282.845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29,4%</w:t>
            </w:r>
          </w:p>
        </w:tc>
      </w:tr>
      <w:tr w:rsidR="005A6F3F" w:rsidRPr="005A6F3F" w:rsidTr="00245F6B">
        <w:trPr>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Gıda sanayi</w:t>
            </w:r>
          </w:p>
        </w:tc>
        <w:tc>
          <w:tcPr>
            <w:tcW w:w="1311"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564.728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76.477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13,5%</w:t>
            </w:r>
          </w:p>
        </w:tc>
      </w:tr>
      <w:tr w:rsidR="005A6F3F" w:rsidRPr="005A6F3F" w:rsidTr="00245F6B">
        <w:trPr>
          <w:cnfStyle w:val="000000100000"/>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İletişim</w:t>
            </w:r>
          </w:p>
        </w:tc>
        <w:tc>
          <w:tcPr>
            <w:tcW w:w="1311"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62.376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15.039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24,1%</w:t>
            </w:r>
          </w:p>
        </w:tc>
      </w:tr>
      <w:tr w:rsidR="005A6F3F" w:rsidRPr="005A6F3F" w:rsidTr="00245F6B">
        <w:trPr>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İnşaat</w:t>
            </w:r>
          </w:p>
        </w:tc>
        <w:tc>
          <w:tcPr>
            <w:tcW w:w="1311"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1.730.246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45.406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2,6%</w:t>
            </w:r>
          </w:p>
        </w:tc>
      </w:tr>
      <w:tr w:rsidR="005A6F3F" w:rsidRPr="005A6F3F" w:rsidTr="00245F6B">
        <w:trPr>
          <w:cnfStyle w:val="000000100000"/>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Konaklama ve eğlence işleri</w:t>
            </w:r>
          </w:p>
        </w:tc>
        <w:tc>
          <w:tcPr>
            <w:tcW w:w="1311"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861.568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29.197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3,4%</w:t>
            </w:r>
          </w:p>
        </w:tc>
      </w:tr>
      <w:tr w:rsidR="005A6F3F" w:rsidRPr="005A6F3F" w:rsidTr="00245F6B">
        <w:trPr>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Madencilik ve taş ocakları</w:t>
            </w:r>
          </w:p>
        </w:tc>
        <w:tc>
          <w:tcPr>
            <w:tcW w:w="1311"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190.946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34.803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18,2%</w:t>
            </w:r>
          </w:p>
        </w:tc>
      </w:tr>
      <w:tr w:rsidR="005A6F3F" w:rsidRPr="005A6F3F" w:rsidTr="00245F6B">
        <w:trPr>
          <w:cnfStyle w:val="000000100000"/>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Metal</w:t>
            </w:r>
          </w:p>
        </w:tc>
        <w:tc>
          <w:tcPr>
            <w:tcW w:w="1311"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1.480.048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256.370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17,3%</w:t>
            </w:r>
          </w:p>
        </w:tc>
      </w:tr>
      <w:tr w:rsidR="005A6F3F" w:rsidRPr="005A6F3F" w:rsidTr="00245F6B">
        <w:trPr>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Petrol, kimya, lastik, plastik ve ilaç</w:t>
            </w:r>
          </w:p>
        </w:tc>
        <w:tc>
          <w:tcPr>
            <w:tcW w:w="1311"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449.143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50.589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11,3%</w:t>
            </w:r>
          </w:p>
        </w:tc>
      </w:tr>
      <w:tr w:rsidR="005A6F3F" w:rsidRPr="005A6F3F" w:rsidTr="00245F6B">
        <w:trPr>
          <w:cnfStyle w:val="000000100000"/>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Sağlık ve sosyal hizmetler</w:t>
            </w:r>
          </w:p>
        </w:tc>
        <w:tc>
          <w:tcPr>
            <w:tcW w:w="1311"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320.545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29.187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9,1%</w:t>
            </w:r>
          </w:p>
        </w:tc>
      </w:tr>
      <w:tr w:rsidR="005A6F3F" w:rsidRPr="005A6F3F" w:rsidTr="00245F6B">
        <w:trPr>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Savunma ve güvenlik</w:t>
            </w:r>
          </w:p>
        </w:tc>
        <w:tc>
          <w:tcPr>
            <w:tcW w:w="1311"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270.757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87.182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32,2%</w:t>
            </w:r>
          </w:p>
        </w:tc>
      </w:tr>
      <w:tr w:rsidR="005A6F3F" w:rsidRPr="005A6F3F" w:rsidTr="00245F6B">
        <w:trPr>
          <w:cnfStyle w:val="000000100000"/>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Taşımacılık</w:t>
            </w:r>
          </w:p>
        </w:tc>
        <w:tc>
          <w:tcPr>
            <w:tcW w:w="1311"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725.143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71.240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9,8%</w:t>
            </w:r>
          </w:p>
        </w:tc>
      </w:tr>
      <w:tr w:rsidR="005A6F3F" w:rsidRPr="005A6F3F" w:rsidTr="00245F6B">
        <w:trPr>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Ticaret, büro, eğitim ve güzel sanatlar</w:t>
            </w:r>
          </w:p>
        </w:tc>
        <w:tc>
          <w:tcPr>
            <w:tcW w:w="1311"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3.079.761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152.439 </w:t>
            </w:r>
          </w:p>
        </w:tc>
        <w:tc>
          <w:tcPr>
            <w:tcW w:w="1464" w:type="dxa"/>
            <w:noWrap/>
            <w:hideMark/>
          </w:tcPr>
          <w:p w:rsidR="005A6F3F" w:rsidRPr="005A6F3F" w:rsidRDefault="005A6F3F" w:rsidP="005A6F3F">
            <w:pPr>
              <w:spacing w:before="0" w:after="0" w:afterAutospacing="0"/>
              <w:jc w:val="right"/>
              <w:cnfStyle w:val="0000000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4,9%</w:t>
            </w:r>
          </w:p>
        </w:tc>
      </w:tr>
      <w:tr w:rsidR="005A6F3F" w:rsidRPr="005A6F3F" w:rsidTr="00245F6B">
        <w:trPr>
          <w:cnfStyle w:val="000000100000"/>
          <w:trHeight w:val="320"/>
        </w:trPr>
        <w:tc>
          <w:tcPr>
            <w:cnfStyle w:val="001000000000"/>
            <w:tcW w:w="4739" w:type="dxa"/>
            <w:noWrap/>
            <w:hideMark/>
          </w:tcPr>
          <w:p w:rsidR="005A6F3F" w:rsidRPr="009B77F8" w:rsidRDefault="005A6F3F" w:rsidP="009B77F8">
            <w:pPr>
              <w:spacing w:before="0" w:after="0" w:afterAutospacing="0"/>
              <w:jc w:val="left"/>
              <w:rPr>
                <w:rFonts w:ascii="Calibri" w:eastAsia="Times New Roman" w:hAnsi="Calibri" w:cs="Times New Roman"/>
                <w:b w:val="0"/>
                <w:color w:val="000000"/>
                <w:sz w:val="20"/>
                <w:szCs w:val="20"/>
                <w:lang w:eastAsia="tr-TR"/>
              </w:rPr>
            </w:pPr>
            <w:r w:rsidRPr="009B77F8">
              <w:rPr>
                <w:rFonts w:ascii="Calibri" w:eastAsia="Times New Roman" w:hAnsi="Calibri" w:cs="Times New Roman"/>
                <w:b w:val="0"/>
                <w:color w:val="000000"/>
                <w:sz w:val="20"/>
                <w:szCs w:val="20"/>
                <w:lang w:eastAsia="tr-TR"/>
              </w:rPr>
              <w:t>Genel Toplam</w:t>
            </w:r>
          </w:p>
        </w:tc>
        <w:tc>
          <w:tcPr>
            <w:tcW w:w="1311"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13.038.351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 xml:space="preserve"> 1.499.860 </w:t>
            </w:r>
          </w:p>
        </w:tc>
        <w:tc>
          <w:tcPr>
            <w:tcW w:w="1464" w:type="dxa"/>
            <w:noWrap/>
            <w:hideMark/>
          </w:tcPr>
          <w:p w:rsidR="005A6F3F" w:rsidRPr="005A6F3F" w:rsidRDefault="005A6F3F" w:rsidP="005A6F3F">
            <w:pPr>
              <w:spacing w:before="0" w:after="0" w:afterAutospacing="0"/>
              <w:jc w:val="right"/>
              <w:cnfStyle w:val="000000100000"/>
              <w:rPr>
                <w:rFonts w:ascii="Calibri" w:eastAsia="Times New Roman" w:hAnsi="Calibri" w:cs="Times New Roman"/>
                <w:color w:val="000000"/>
                <w:sz w:val="20"/>
                <w:szCs w:val="20"/>
                <w:lang w:eastAsia="tr-TR"/>
              </w:rPr>
            </w:pPr>
            <w:r w:rsidRPr="005A6F3F">
              <w:rPr>
                <w:rFonts w:ascii="Calibri" w:eastAsia="Times New Roman" w:hAnsi="Calibri" w:cs="Times New Roman"/>
                <w:color w:val="000000"/>
                <w:sz w:val="20"/>
                <w:szCs w:val="20"/>
                <w:lang w:eastAsia="tr-TR"/>
              </w:rPr>
              <w:t>11,5%</w:t>
            </w:r>
          </w:p>
        </w:tc>
      </w:tr>
    </w:tbl>
    <w:p w:rsidR="002E7943" w:rsidRDefault="002E7943" w:rsidP="002E7943">
      <w:pPr>
        <w:pStyle w:val="Dipnot"/>
      </w:pPr>
      <w:r>
        <w:t>Kaynak: ÇSGB, Temmuz 2016 İstatistikleri</w:t>
      </w:r>
    </w:p>
    <w:p w:rsidR="001A216B" w:rsidRDefault="001A216B" w:rsidP="001A216B">
      <w:r>
        <w:rPr>
          <w:rFonts w:eastAsia="Avenir Medium" w:cs="Avenir Medium"/>
          <w:szCs w:val="22"/>
        </w:rPr>
        <w:t xml:space="preserve">Resmi sendikalaşma oranı yüzde 11,5 iken inşaat işkolunda sendikalaşma oranı sadece yüzde 2,6’dır. Turizm işkolunda yüzde </w:t>
      </w:r>
      <w:proofErr w:type="gramStart"/>
      <w:r>
        <w:rPr>
          <w:rFonts w:eastAsia="Avenir Medium" w:cs="Avenir Medium"/>
          <w:szCs w:val="22"/>
        </w:rPr>
        <w:t>3.4</w:t>
      </w:r>
      <w:proofErr w:type="gramEnd"/>
      <w:r>
        <w:rPr>
          <w:rFonts w:eastAsia="Avenir Medium" w:cs="Avenir Medium"/>
          <w:szCs w:val="22"/>
        </w:rPr>
        <w:t xml:space="preserve"> olan sendikalaşma oranı</w:t>
      </w:r>
      <w:r>
        <w:rPr>
          <w:rFonts w:eastAsia="Avenir Medium" w:cs="Avenir Medium"/>
        </w:rPr>
        <w:t xml:space="preserve">, </w:t>
      </w:r>
      <w:r>
        <w:rPr>
          <w:rFonts w:eastAsia="Avenir Medium" w:cs="Avenir Medium"/>
          <w:szCs w:val="22"/>
        </w:rPr>
        <w:t xml:space="preserve">3 </w:t>
      </w:r>
      <w:r>
        <w:rPr>
          <w:rFonts w:eastAsia="Avenir Medium" w:cs="Avenir Medium"/>
          <w:szCs w:val="22"/>
        </w:rPr>
        <w:lastRenderedPageBreak/>
        <w:t xml:space="preserve">milyonu aşkın işçinin bulunduğu en büyük işkolu durumundaki büro işkolunda ise 4.9’dur (Grafik 2).  </w:t>
      </w:r>
    </w:p>
    <w:p w:rsidR="00780CC9" w:rsidRDefault="00780CC9" w:rsidP="00780CC9">
      <w:pPr>
        <w:pStyle w:val="Balk3"/>
      </w:pPr>
      <w:r>
        <w:t>Grafik</w:t>
      </w:r>
      <w:r w:rsidR="009B77F8">
        <w:t xml:space="preserve"> 2</w:t>
      </w:r>
      <w:r>
        <w:t>: İşkollarına göre sendikalaşma oranları (Temmuz 2016)</w:t>
      </w:r>
    </w:p>
    <w:p w:rsidR="001B3F03" w:rsidRPr="00282CAA" w:rsidRDefault="001B3F03" w:rsidP="00273C9C">
      <w:r>
        <w:rPr>
          <w:noProof/>
          <w:lang w:eastAsia="tr-TR"/>
        </w:rPr>
        <w:drawing>
          <wp:inline distT="0" distB="0" distL="0" distR="0">
            <wp:extent cx="5943600" cy="5603240"/>
            <wp:effectExtent l="0" t="0" r="0" b="1016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E7943" w:rsidRDefault="002E7943" w:rsidP="002E7943">
      <w:pPr>
        <w:pStyle w:val="Dipnot"/>
      </w:pPr>
      <w:r>
        <w:t>Kaynak: ÇSGB, Temmuz 2016 İstatistikleri</w:t>
      </w:r>
    </w:p>
    <w:p w:rsidR="001A216B" w:rsidRDefault="001A216B" w:rsidP="001A216B">
      <w:r>
        <w:rPr>
          <w:rFonts w:eastAsia="Avenir Medium" w:cs="Avenir Medium"/>
          <w:szCs w:val="22"/>
        </w:rPr>
        <w:t xml:space="preserve">Sendikalaşma oranları imalat </w:t>
      </w:r>
      <w:proofErr w:type="spellStart"/>
      <w:r>
        <w:rPr>
          <w:rFonts w:eastAsia="Avenir Medium" w:cs="Avenir Medium"/>
          <w:szCs w:val="22"/>
        </w:rPr>
        <w:t>sanayiinde</w:t>
      </w:r>
      <w:proofErr w:type="spellEnd"/>
      <w:r>
        <w:rPr>
          <w:rFonts w:eastAsia="Avenir Medium" w:cs="Avenir Medium"/>
          <w:szCs w:val="22"/>
        </w:rPr>
        <w:t xml:space="preserve"> ve kamu ağırlıklı işkollarında ortalamanın üzerinde seyretmektedir.  Sendikalaşmanın en yüksek olduğu üç işkolu banka-finans, savunma-güve</w:t>
      </w:r>
      <w:r>
        <w:rPr>
          <w:rFonts w:eastAsia="Avenir Medium" w:cs="Avenir Medium"/>
        </w:rPr>
        <w:t>nl</w:t>
      </w:r>
      <w:r>
        <w:rPr>
          <w:rFonts w:eastAsia="Avenir Medium" w:cs="Avenir Medium"/>
          <w:szCs w:val="22"/>
        </w:rPr>
        <w:t xml:space="preserve">ik ve genel işlerdir. Savunma ve güvenlik kamu ağırlıklı bir sektör olmanın yanında özel güvenlik çalışanlarını kapsayan bir işkoludur. Özel güvenlik örgütlenmesinde yaşanan artış, bu işkolunda sendikalaşmayı yükseltti. Yine genel hizmetler işkolunda taşeron işçilerin sendikalaşması bu işkolunda sendikalaşma oranlarını artırdı. </w:t>
      </w:r>
    </w:p>
    <w:p w:rsidR="0066319D" w:rsidRDefault="0066319D" w:rsidP="0066319D">
      <w:r>
        <w:rPr>
          <w:rFonts w:eastAsia="Avenir Medium" w:cs="Avenir Medium"/>
          <w:szCs w:val="22"/>
        </w:rPr>
        <w:t xml:space="preserve">Savunma ve güvenlik işkolunda 2013’te yüzde 12,2 olan sendikalaşma oranı, Temmuz 2016’da yüzde 32,2’ye çıktı. Aynı şekilde genel hizmetler işkolunda 2013’te yüzde 20,5 olan sendikalaşma oranı yüzde 29,4’e yükseldi. Benzer bir </w:t>
      </w:r>
      <w:r>
        <w:rPr>
          <w:rFonts w:eastAsia="Avenir Medium" w:cs="Avenir Medium"/>
          <w:szCs w:val="22"/>
        </w:rPr>
        <w:lastRenderedPageBreak/>
        <w:t xml:space="preserve">eğilim banka ve finans sektöründe de görülmektedir. 2013’te </w:t>
      </w:r>
      <w:proofErr w:type="gramStart"/>
      <w:r>
        <w:rPr>
          <w:rFonts w:eastAsia="Avenir Medium" w:cs="Avenir Medium"/>
          <w:szCs w:val="22"/>
        </w:rPr>
        <w:t>yüzde  22</w:t>
      </w:r>
      <w:proofErr w:type="gramEnd"/>
      <w:r>
        <w:rPr>
          <w:rFonts w:eastAsia="Avenir Medium" w:cs="Avenir Medium"/>
          <w:szCs w:val="22"/>
        </w:rPr>
        <w:t xml:space="preserve">,3 olan sendikalaşma oranı, 2016 Temmuz ayında yüzde 35,2’ye ulaştı. Buna karşın 2015 Temmuz ayında yüzde 6’ya ulaşan büro işkolu sendikalaşma oranı Temmuz 2016’da yüzde 4,9’a geriledi.  </w:t>
      </w:r>
    </w:p>
    <w:p w:rsidR="00282CAA" w:rsidRDefault="00E825F0" w:rsidP="00E825F0">
      <w:pPr>
        <w:pStyle w:val="Balk3"/>
      </w:pPr>
      <w:r>
        <w:t>İllere göre sendikalaşma</w:t>
      </w:r>
    </w:p>
    <w:p w:rsidR="00A203FD" w:rsidRDefault="0066319D" w:rsidP="00A203FD">
      <w:r>
        <w:rPr>
          <w:rFonts w:eastAsia="Avenir Medium" w:cs="Avenir Medium"/>
          <w:szCs w:val="22"/>
        </w:rPr>
        <w:t>Sendikalaşma illere göre de büyük farklılıklar göstermektedir. Sendikalaşmanın en düşük olduğu 10 il sırasıyla Denizli, Yalova, Antalya, Ordu, Nevşehir, İstanbul, Gaziantep, Osmaniye, Uşak ve Konya’dır. İstanbul yüzde 7,7 sendikalaşma oranı ile sendikalaşmanın en düşük olduğu 6. ildir.  Denizli, Antalya, Gaziantep ve Konya gibi gerek imalat sanayi gerekse hizmet sektörünün yoğun olduğu illerde de sendikalaşma oranı oldukça düşüktür. İstanbul ve Antalya’da sendikalaşma oranının düşüklüğü hizmet ve turizm sektörlerindeki sendikalaşma oranlarının düş</w:t>
      </w:r>
      <w:r>
        <w:rPr>
          <w:rFonts w:eastAsia="Avenir Medium" w:cs="Avenir Medium"/>
        </w:rPr>
        <w:t>ük</w:t>
      </w:r>
      <w:r>
        <w:rPr>
          <w:rFonts w:eastAsia="Avenir Medium" w:cs="Avenir Medium"/>
          <w:szCs w:val="22"/>
        </w:rPr>
        <w:t xml:space="preserve">lüğüne paraleldir. Gaziantep, Denizli ve Konya gibi bir milyon civarında işçinin çalıştığı ve imalat </w:t>
      </w:r>
      <w:proofErr w:type="spellStart"/>
      <w:r>
        <w:rPr>
          <w:rFonts w:eastAsia="Avenir Medium" w:cs="Avenir Medium"/>
          <w:szCs w:val="22"/>
        </w:rPr>
        <w:t>sanayii</w:t>
      </w:r>
      <w:proofErr w:type="spellEnd"/>
      <w:r>
        <w:rPr>
          <w:rFonts w:eastAsia="Avenir Medium" w:cs="Avenir Medium"/>
          <w:szCs w:val="22"/>
        </w:rPr>
        <w:t xml:space="preserve"> işçisinin yoğun olduğu illerde sendikalaşma oranlarının düşüklüğü </w:t>
      </w:r>
      <w:r>
        <w:rPr>
          <w:rFonts w:eastAsia="Avenir Medium" w:cs="Avenir Medium"/>
        </w:rPr>
        <w:t>O</w:t>
      </w:r>
      <w:r>
        <w:rPr>
          <w:rFonts w:eastAsia="Avenir Medium" w:cs="Avenir Medium"/>
          <w:szCs w:val="22"/>
        </w:rPr>
        <w:t>rta Anadolu’da sendikalaşma oranının düşük seyrettiğini ortaya koymaktadır (Tablo 3).</w:t>
      </w:r>
    </w:p>
    <w:p w:rsidR="00A203FD" w:rsidRPr="00A203FD" w:rsidRDefault="002B40C9" w:rsidP="002B40C9">
      <w:pPr>
        <w:pStyle w:val="Balk3"/>
      </w:pPr>
      <w:r>
        <w:t>Tablo</w:t>
      </w:r>
      <w:r w:rsidR="00185878">
        <w:t xml:space="preserve"> 3</w:t>
      </w:r>
      <w:r>
        <w:t>: İllere göre sendikalaşma</w:t>
      </w:r>
    </w:p>
    <w:tbl>
      <w:tblPr>
        <w:tblStyle w:val="GridTable5DarkAccent1"/>
        <w:tblW w:w="5200" w:type="dxa"/>
        <w:tblInd w:w="247" w:type="dxa"/>
        <w:tblLook w:val="0420"/>
      </w:tblPr>
      <w:tblGrid>
        <w:gridCol w:w="1725"/>
        <w:gridCol w:w="875"/>
        <w:gridCol w:w="1622"/>
        <w:gridCol w:w="978"/>
      </w:tblGrid>
      <w:tr w:rsidR="00C512BA" w:rsidRPr="00C512BA" w:rsidTr="00245F6B">
        <w:trPr>
          <w:cnfStyle w:val="100000000000"/>
          <w:trHeight w:val="353"/>
        </w:trPr>
        <w:tc>
          <w:tcPr>
            <w:tcW w:w="2600" w:type="dxa"/>
            <w:gridSpan w:val="2"/>
            <w:noWrap/>
            <w:hideMark/>
          </w:tcPr>
          <w:p w:rsidR="00C512BA" w:rsidRPr="00C512BA" w:rsidRDefault="00C512BA" w:rsidP="00A203FD">
            <w:pPr>
              <w:spacing w:before="0" w:after="0" w:afterAutospacing="0"/>
              <w:jc w:val="center"/>
              <w:rPr>
                <w:rFonts w:ascii="Calibri" w:eastAsia="Times New Roman" w:hAnsi="Calibri" w:cs="Times New Roman"/>
                <w:sz w:val="20"/>
                <w:szCs w:val="20"/>
                <w:lang w:eastAsia="tr-TR"/>
              </w:rPr>
            </w:pPr>
            <w:r w:rsidRPr="00C512BA">
              <w:rPr>
                <w:rFonts w:ascii="Calibri" w:eastAsia="Times New Roman" w:hAnsi="Calibri" w:cs="Times New Roman"/>
                <w:sz w:val="20"/>
                <w:szCs w:val="20"/>
                <w:lang w:eastAsia="tr-TR"/>
              </w:rPr>
              <w:t>En düşük 10 il</w:t>
            </w:r>
          </w:p>
        </w:tc>
        <w:tc>
          <w:tcPr>
            <w:tcW w:w="2600" w:type="dxa"/>
            <w:gridSpan w:val="2"/>
            <w:noWrap/>
            <w:hideMark/>
          </w:tcPr>
          <w:p w:rsidR="00C512BA" w:rsidRPr="00C512BA" w:rsidRDefault="00C512BA" w:rsidP="00A203FD">
            <w:pPr>
              <w:spacing w:before="0" w:after="0" w:afterAutospacing="0"/>
              <w:jc w:val="center"/>
              <w:rPr>
                <w:rFonts w:ascii="Calibri" w:eastAsia="Times New Roman" w:hAnsi="Calibri" w:cs="Times New Roman"/>
                <w:sz w:val="20"/>
                <w:szCs w:val="20"/>
                <w:lang w:eastAsia="tr-TR"/>
              </w:rPr>
            </w:pPr>
            <w:r w:rsidRPr="00C512BA">
              <w:rPr>
                <w:rFonts w:ascii="Calibri" w:eastAsia="Times New Roman" w:hAnsi="Calibri" w:cs="Times New Roman"/>
                <w:sz w:val="20"/>
                <w:szCs w:val="20"/>
                <w:lang w:eastAsia="tr-TR"/>
              </w:rPr>
              <w:t>En yüksek 10 il</w:t>
            </w:r>
          </w:p>
        </w:tc>
      </w:tr>
      <w:tr w:rsidR="00C512BA" w:rsidRPr="00C512BA" w:rsidTr="00245F6B">
        <w:trPr>
          <w:cnfStyle w:val="000000100000"/>
          <w:trHeight w:val="320"/>
        </w:trPr>
        <w:tc>
          <w:tcPr>
            <w:tcW w:w="1725" w:type="dxa"/>
            <w:noWrap/>
            <w:hideMark/>
          </w:tcPr>
          <w:p w:rsidR="00C512BA" w:rsidRPr="00C512BA" w:rsidRDefault="00C512BA" w:rsidP="00C512BA">
            <w:pPr>
              <w:spacing w:before="0" w:after="0" w:afterAutospacing="0"/>
              <w:rPr>
                <w:rFonts w:ascii="Calibri" w:eastAsia="Times New Roman" w:hAnsi="Calibri" w:cs="Times New Roman"/>
                <w:b/>
                <w:color w:val="1F497D" w:themeColor="text2"/>
                <w:sz w:val="20"/>
                <w:szCs w:val="20"/>
                <w:lang w:eastAsia="tr-TR"/>
              </w:rPr>
            </w:pPr>
            <w:r w:rsidRPr="00C512BA">
              <w:rPr>
                <w:rFonts w:ascii="Calibri" w:eastAsia="Times New Roman" w:hAnsi="Calibri" w:cs="Times New Roman"/>
                <w:b/>
                <w:color w:val="1F497D" w:themeColor="text2"/>
                <w:sz w:val="20"/>
                <w:szCs w:val="20"/>
                <w:lang w:eastAsia="tr-TR"/>
              </w:rPr>
              <w:t>İl</w:t>
            </w:r>
          </w:p>
        </w:tc>
        <w:tc>
          <w:tcPr>
            <w:tcW w:w="875" w:type="dxa"/>
            <w:noWrap/>
            <w:hideMark/>
          </w:tcPr>
          <w:p w:rsidR="00C512BA" w:rsidRPr="00C512BA" w:rsidRDefault="00C512BA" w:rsidP="002B40C9">
            <w:pPr>
              <w:spacing w:before="0" w:after="0" w:afterAutospacing="0"/>
              <w:jc w:val="right"/>
              <w:rPr>
                <w:rFonts w:ascii="Calibri" w:eastAsia="Times New Roman" w:hAnsi="Calibri" w:cs="Times New Roman"/>
                <w:b/>
                <w:color w:val="1F497D" w:themeColor="text2"/>
                <w:sz w:val="20"/>
                <w:szCs w:val="20"/>
                <w:lang w:eastAsia="tr-TR"/>
              </w:rPr>
            </w:pPr>
            <w:r w:rsidRPr="00C512BA">
              <w:rPr>
                <w:rFonts w:ascii="Calibri" w:eastAsia="Times New Roman" w:hAnsi="Calibri" w:cs="Times New Roman"/>
                <w:b/>
                <w:color w:val="1F497D" w:themeColor="text2"/>
                <w:sz w:val="20"/>
                <w:szCs w:val="20"/>
                <w:lang w:eastAsia="tr-TR"/>
              </w:rPr>
              <w:t>Oran</w:t>
            </w:r>
          </w:p>
        </w:tc>
        <w:tc>
          <w:tcPr>
            <w:tcW w:w="1622" w:type="dxa"/>
            <w:noWrap/>
            <w:hideMark/>
          </w:tcPr>
          <w:p w:rsidR="00C512BA" w:rsidRPr="00C512BA" w:rsidRDefault="00C512BA" w:rsidP="00C512BA">
            <w:pPr>
              <w:spacing w:before="0" w:after="0" w:afterAutospacing="0"/>
              <w:rPr>
                <w:rFonts w:ascii="Calibri" w:eastAsia="Times New Roman" w:hAnsi="Calibri" w:cs="Times New Roman"/>
                <w:b/>
                <w:color w:val="1F497D" w:themeColor="text2"/>
                <w:sz w:val="20"/>
                <w:szCs w:val="20"/>
                <w:lang w:eastAsia="tr-TR"/>
              </w:rPr>
            </w:pPr>
            <w:r w:rsidRPr="00C512BA">
              <w:rPr>
                <w:rFonts w:ascii="Calibri" w:eastAsia="Times New Roman" w:hAnsi="Calibri" w:cs="Times New Roman"/>
                <w:b/>
                <w:color w:val="1F497D" w:themeColor="text2"/>
                <w:sz w:val="20"/>
                <w:szCs w:val="20"/>
                <w:lang w:eastAsia="tr-TR"/>
              </w:rPr>
              <w:t>İl</w:t>
            </w:r>
          </w:p>
        </w:tc>
        <w:tc>
          <w:tcPr>
            <w:tcW w:w="978" w:type="dxa"/>
            <w:noWrap/>
            <w:hideMark/>
          </w:tcPr>
          <w:p w:rsidR="00C512BA" w:rsidRPr="00C512BA" w:rsidRDefault="00C512BA" w:rsidP="002B40C9">
            <w:pPr>
              <w:spacing w:before="0" w:after="0" w:afterAutospacing="0"/>
              <w:jc w:val="right"/>
              <w:rPr>
                <w:rFonts w:ascii="Calibri" w:eastAsia="Times New Roman" w:hAnsi="Calibri" w:cs="Times New Roman"/>
                <w:b/>
                <w:color w:val="1F497D" w:themeColor="text2"/>
                <w:sz w:val="20"/>
                <w:szCs w:val="20"/>
                <w:lang w:eastAsia="tr-TR"/>
              </w:rPr>
            </w:pPr>
            <w:r w:rsidRPr="00C512BA">
              <w:rPr>
                <w:rFonts w:ascii="Calibri" w:eastAsia="Times New Roman" w:hAnsi="Calibri" w:cs="Times New Roman"/>
                <w:b/>
                <w:color w:val="1F497D" w:themeColor="text2"/>
                <w:sz w:val="20"/>
                <w:szCs w:val="20"/>
                <w:lang w:eastAsia="tr-TR"/>
              </w:rPr>
              <w:t xml:space="preserve">Oran </w:t>
            </w:r>
          </w:p>
        </w:tc>
      </w:tr>
      <w:tr w:rsidR="00C512BA" w:rsidRPr="00C512BA" w:rsidTr="00245F6B">
        <w:trPr>
          <w:trHeight w:val="320"/>
        </w:trPr>
        <w:tc>
          <w:tcPr>
            <w:tcW w:w="1725"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Denizli</w:t>
            </w:r>
          </w:p>
        </w:tc>
        <w:tc>
          <w:tcPr>
            <w:tcW w:w="875"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5,1%</w:t>
            </w:r>
          </w:p>
        </w:tc>
        <w:tc>
          <w:tcPr>
            <w:tcW w:w="1622"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Bitlis</w:t>
            </w:r>
          </w:p>
        </w:tc>
        <w:tc>
          <w:tcPr>
            <w:tcW w:w="978"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20,5%</w:t>
            </w:r>
          </w:p>
        </w:tc>
      </w:tr>
      <w:tr w:rsidR="00C512BA" w:rsidRPr="00C512BA" w:rsidTr="00245F6B">
        <w:trPr>
          <w:cnfStyle w:val="000000100000"/>
          <w:trHeight w:val="353"/>
        </w:trPr>
        <w:tc>
          <w:tcPr>
            <w:tcW w:w="1725"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Yalova</w:t>
            </w:r>
          </w:p>
        </w:tc>
        <w:tc>
          <w:tcPr>
            <w:tcW w:w="875"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6,0%</w:t>
            </w:r>
          </w:p>
        </w:tc>
        <w:tc>
          <w:tcPr>
            <w:tcW w:w="1622"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Kırşehir</w:t>
            </w:r>
          </w:p>
        </w:tc>
        <w:tc>
          <w:tcPr>
            <w:tcW w:w="978"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21,9%</w:t>
            </w:r>
          </w:p>
        </w:tc>
      </w:tr>
      <w:tr w:rsidR="00C512BA" w:rsidRPr="00C512BA" w:rsidTr="00245F6B">
        <w:trPr>
          <w:trHeight w:val="320"/>
        </w:trPr>
        <w:tc>
          <w:tcPr>
            <w:tcW w:w="1725"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Antalya</w:t>
            </w:r>
          </w:p>
        </w:tc>
        <w:tc>
          <w:tcPr>
            <w:tcW w:w="875"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6,3%</w:t>
            </w:r>
          </w:p>
        </w:tc>
        <w:tc>
          <w:tcPr>
            <w:tcW w:w="1622"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Kars</w:t>
            </w:r>
          </w:p>
        </w:tc>
        <w:tc>
          <w:tcPr>
            <w:tcW w:w="978"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22,0%</w:t>
            </w:r>
          </w:p>
        </w:tc>
      </w:tr>
      <w:tr w:rsidR="00C512BA" w:rsidRPr="00C512BA" w:rsidTr="00245F6B">
        <w:trPr>
          <w:cnfStyle w:val="000000100000"/>
          <w:trHeight w:val="320"/>
        </w:trPr>
        <w:tc>
          <w:tcPr>
            <w:tcW w:w="1725"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Ordu</w:t>
            </w:r>
          </w:p>
        </w:tc>
        <w:tc>
          <w:tcPr>
            <w:tcW w:w="875"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7,6%</w:t>
            </w:r>
          </w:p>
        </w:tc>
        <w:tc>
          <w:tcPr>
            <w:tcW w:w="1622"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Bilecik</w:t>
            </w:r>
          </w:p>
        </w:tc>
        <w:tc>
          <w:tcPr>
            <w:tcW w:w="978"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22,2%</w:t>
            </w:r>
          </w:p>
        </w:tc>
      </w:tr>
      <w:tr w:rsidR="00C512BA" w:rsidRPr="00C512BA" w:rsidTr="00245F6B">
        <w:trPr>
          <w:trHeight w:val="320"/>
        </w:trPr>
        <w:tc>
          <w:tcPr>
            <w:tcW w:w="1725"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Nevşehir</w:t>
            </w:r>
          </w:p>
        </w:tc>
        <w:tc>
          <w:tcPr>
            <w:tcW w:w="875"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7,7%</w:t>
            </w:r>
          </w:p>
        </w:tc>
        <w:tc>
          <w:tcPr>
            <w:tcW w:w="1622"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proofErr w:type="gramStart"/>
            <w:r w:rsidRPr="00C512BA">
              <w:rPr>
                <w:rFonts w:ascii="Calibri" w:eastAsia="Times New Roman" w:hAnsi="Calibri" w:cs="Times New Roman"/>
                <w:color w:val="000000"/>
                <w:sz w:val="20"/>
                <w:szCs w:val="20"/>
                <w:lang w:eastAsia="tr-TR"/>
              </w:rPr>
              <w:t>Hakkari</w:t>
            </w:r>
            <w:proofErr w:type="gramEnd"/>
          </w:p>
        </w:tc>
        <w:tc>
          <w:tcPr>
            <w:tcW w:w="978"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22,3%</w:t>
            </w:r>
          </w:p>
        </w:tc>
      </w:tr>
      <w:tr w:rsidR="00C512BA" w:rsidRPr="00C512BA" w:rsidTr="00245F6B">
        <w:trPr>
          <w:cnfStyle w:val="000000100000"/>
          <w:trHeight w:val="320"/>
        </w:trPr>
        <w:tc>
          <w:tcPr>
            <w:tcW w:w="1725"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İstanbul</w:t>
            </w:r>
          </w:p>
        </w:tc>
        <w:tc>
          <w:tcPr>
            <w:tcW w:w="875"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7,7%</w:t>
            </w:r>
          </w:p>
        </w:tc>
        <w:tc>
          <w:tcPr>
            <w:tcW w:w="1622"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Kütahya</w:t>
            </w:r>
          </w:p>
        </w:tc>
        <w:tc>
          <w:tcPr>
            <w:tcW w:w="978"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23,6%</w:t>
            </w:r>
          </w:p>
        </w:tc>
      </w:tr>
      <w:tr w:rsidR="00C512BA" w:rsidRPr="00C512BA" w:rsidTr="00245F6B">
        <w:trPr>
          <w:trHeight w:val="320"/>
        </w:trPr>
        <w:tc>
          <w:tcPr>
            <w:tcW w:w="1725"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Gaziantep</w:t>
            </w:r>
          </w:p>
        </w:tc>
        <w:tc>
          <w:tcPr>
            <w:tcW w:w="875"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8,0%</w:t>
            </w:r>
          </w:p>
        </w:tc>
        <w:tc>
          <w:tcPr>
            <w:tcW w:w="1622"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Muş</w:t>
            </w:r>
          </w:p>
        </w:tc>
        <w:tc>
          <w:tcPr>
            <w:tcW w:w="978"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24,4%</w:t>
            </w:r>
          </w:p>
        </w:tc>
      </w:tr>
      <w:tr w:rsidR="00C512BA" w:rsidRPr="00C512BA" w:rsidTr="00245F6B">
        <w:trPr>
          <w:cnfStyle w:val="000000100000"/>
          <w:trHeight w:val="320"/>
        </w:trPr>
        <w:tc>
          <w:tcPr>
            <w:tcW w:w="1725"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Osmaniye</w:t>
            </w:r>
          </w:p>
        </w:tc>
        <w:tc>
          <w:tcPr>
            <w:tcW w:w="875"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8,1%</w:t>
            </w:r>
          </w:p>
        </w:tc>
        <w:tc>
          <w:tcPr>
            <w:tcW w:w="1622"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Zonguldak</w:t>
            </w:r>
          </w:p>
        </w:tc>
        <w:tc>
          <w:tcPr>
            <w:tcW w:w="978"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25,1%</w:t>
            </w:r>
          </w:p>
        </w:tc>
      </w:tr>
      <w:tr w:rsidR="00C512BA" w:rsidRPr="00C512BA" w:rsidTr="00245F6B">
        <w:trPr>
          <w:trHeight w:val="320"/>
        </w:trPr>
        <w:tc>
          <w:tcPr>
            <w:tcW w:w="1725"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Uşak</w:t>
            </w:r>
          </w:p>
        </w:tc>
        <w:tc>
          <w:tcPr>
            <w:tcW w:w="875"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8,3%</w:t>
            </w:r>
          </w:p>
        </w:tc>
        <w:tc>
          <w:tcPr>
            <w:tcW w:w="1622"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Tunceli</w:t>
            </w:r>
          </w:p>
        </w:tc>
        <w:tc>
          <w:tcPr>
            <w:tcW w:w="978"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25,6%</w:t>
            </w:r>
          </w:p>
        </w:tc>
      </w:tr>
      <w:tr w:rsidR="00C512BA" w:rsidRPr="00C512BA" w:rsidTr="00245F6B">
        <w:trPr>
          <w:cnfStyle w:val="000000100000"/>
          <w:trHeight w:val="320"/>
        </w:trPr>
        <w:tc>
          <w:tcPr>
            <w:tcW w:w="1725"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Konya</w:t>
            </w:r>
          </w:p>
        </w:tc>
        <w:tc>
          <w:tcPr>
            <w:tcW w:w="875"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8,5%</w:t>
            </w:r>
          </w:p>
        </w:tc>
        <w:tc>
          <w:tcPr>
            <w:tcW w:w="1622" w:type="dxa"/>
            <w:noWrap/>
            <w:hideMark/>
          </w:tcPr>
          <w:p w:rsidR="00C512BA" w:rsidRPr="00C512BA" w:rsidRDefault="00C512BA" w:rsidP="00C512BA">
            <w:pPr>
              <w:spacing w:before="0" w:after="0" w:afterAutospacing="0"/>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Rize</w:t>
            </w:r>
          </w:p>
        </w:tc>
        <w:tc>
          <w:tcPr>
            <w:tcW w:w="978" w:type="dxa"/>
            <w:noWrap/>
            <w:hideMark/>
          </w:tcPr>
          <w:p w:rsidR="00C512BA" w:rsidRPr="00C512BA" w:rsidRDefault="00C512BA" w:rsidP="00C512BA">
            <w:pPr>
              <w:spacing w:before="0" w:after="0" w:afterAutospacing="0"/>
              <w:jc w:val="right"/>
              <w:rPr>
                <w:rFonts w:ascii="Calibri" w:eastAsia="Times New Roman" w:hAnsi="Calibri" w:cs="Times New Roman"/>
                <w:color w:val="000000"/>
                <w:sz w:val="20"/>
                <w:szCs w:val="20"/>
                <w:lang w:eastAsia="tr-TR"/>
              </w:rPr>
            </w:pPr>
            <w:r w:rsidRPr="00C512BA">
              <w:rPr>
                <w:rFonts w:ascii="Calibri" w:eastAsia="Times New Roman" w:hAnsi="Calibri" w:cs="Times New Roman"/>
                <w:color w:val="000000"/>
                <w:sz w:val="20"/>
                <w:szCs w:val="20"/>
                <w:lang w:eastAsia="tr-TR"/>
              </w:rPr>
              <w:t>28,0%</w:t>
            </w:r>
          </w:p>
        </w:tc>
      </w:tr>
    </w:tbl>
    <w:p w:rsidR="00E825F0" w:rsidRDefault="001836B5" w:rsidP="002E7943">
      <w:pPr>
        <w:pStyle w:val="Dipnot"/>
      </w:pPr>
      <w:r>
        <w:t>Kaynak: ÇSGB, Ocak 2016 İstatistikleri</w:t>
      </w:r>
    </w:p>
    <w:p w:rsidR="0078203C" w:rsidRDefault="0078203C" w:rsidP="00E825F0">
      <w:r>
        <w:t xml:space="preserve">Sendikalaşma oranlarının yüksel olduğu iller ise belediyeler </w:t>
      </w:r>
      <w:proofErr w:type="gramStart"/>
      <w:r>
        <w:t>dahil</w:t>
      </w:r>
      <w:proofErr w:type="gramEnd"/>
      <w:r>
        <w:t xml:space="preserve"> kamu işçiliğinin yoğun olduğu iller olarak ön plana çıkmaktadır. Zonguldak ve Rize’de kamu kömür ve çay işletmeleri sendikalaşma açısından en önemli faktördür. </w:t>
      </w:r>
    </w:p>
    <w:p w:rsidR="00CD33FE" w:rsidRDefault="007018D3" w:rsidP="00CD33FE">
      <w:pPr>
        <w:pStyle w:val="Balk3"/>
      </w:pPr>
      <w:r>
        <w:t>Cinsiyete göre sendikalaşma</w:t>
      </w:r>
    </w:p>
    <w:p w:rsidR="0066319D" w:rsidRDefault="0066319D" w:rsidP="0066319D">
      <w:r>
        <w:rPr>
          <w:rFonts w:eastAsia="Avenir Medium" w:cs="Avenir Medium"/>
          <w:szCs w:val="22"/>
        </w:rPr>
        <w:t>Sendikalaşma oranları cinsiyete göre de önemli farklılıklar göstermektedir. 9,1 milyon erkek işçinin 1,2 milyonu sendikalıdır ve erkek işçilerde sendikalaşma oranı yüzde 13’ün üzerindedir. 3,3 milyon kadın işçinin ise 254 bini sendikalıdır. Kadınların sendikalaşma oranı ise yüzde 7,6’dır. Toplumsal cinsiyet eşitsizliği sendika üyeliği alanında da devam etmektedir (Tablo 4).</w:t>
      </w:r>
    </w:p>
    <w:p w:rsidR="00185878" w:rsidRPr="00CF0D99" w:rsidRDefault="00185878" w:rsidP="00185878">
      <w:pPr>
        <w:pStyle w:val="Balk3"/>
      </w:pPr>
      <w:r>
        <w:t>Tablo 4: Cinsiyete göre sendikalaşma</w:t>
      </w:r>
    </w:p>
    <w:tbl>
      <w:tblPr>
        <w:tblStyle w:val="GridTable4Accent1"/>
        <w:tblW w:w="6160" w:type="dxa"/>
        <w:tblInd w:w="218" w:type="dxa"/>
        <w:tblLook w:val="04A0"/>
      </w:tblPr>
      <w:tblGrid>
        <w:gridCol w:w="1665"/>
        <w:gridCol w:w="1594"/>
        <w:gridCol w:w="1601"/>
        <w:gridCol w:w="1300"/>
      </w:tblGrid>
      <w:tr w:rsidR="006F4800" w:rsidRPr="00CF0D99" w:rsidTr="00245F6B">
        <w:trPr>
          <w:cnfStyle w:val="100000000000"/>
          <w:trHeight w:val="320"/>
        </w:trPr>
        <w:tc>
          <w:tcPr>
            <w:cnfStyle w:val="001000000000"/>
            <w:tcW w:w="1665" w:type="dxa"/>
            <w:hideMark/>
          </w:tcPr>
          <w:p w:rsidR="00CF0D99" w:rsidRPr="00CF0D99" w:rsidRDefault="0034254F" w:rsidP="00CF0D99">
            <w:pPr>
              <w:spacing w:before="0" w:after="0" w:afterAutospacing="0"/>
              <w:rPr>
                <w:rFonts w:asciiTheme="minorHAnsi" w:hAnsiTheme="minorHAnsi" w:cs="Times New Roman"/>
                <w:sz w:val="20"/>
                <w:szCs w:val="20"/>
                <w:lang w:eastAsia="tr-TR"/>
              </w:rPr>
            </w:pPr>
            <w:r>
              <w:rPr>
                <w:rFonts w:asciiTheme="minorHAnsi" w:hAnsiTheme="minorHAnsi" w:cs="Times New Roman"/>
                <w:sz w:val="20"/>
                <w:szCs w:val="20"/>
                <w:lang w:eastAsia="tr-TR"/>
              </w:rPr>
              <w:t>Cinsiyet</w:t>
            </w:r>
          </w:p>
        </w:tc>
        <w:tc>
          <w:tcPr>
            <w:tcW w:w="1594" w:type="dxa"/>
            <w:hideMark/>
          </w:tcPr>
          <w:p w:rsidR="00CF0D99" w:rsidRPr="00CF0D99" w:rsidRDefault="00CF0D99" w:rsidP="00CF0D99">
            <w:pPr>
              <w:spacing w:before="0" w:after="0" w:afterAutospacing="0"/>
              <w:jc w:val="right"/>
              <w:cnfStyle w:val="100000000000"/>
              <w:rPr>
                <w:rFonts w:ascii="Calibri" w:eastAsia="Times New Roman" w:hAnsi="Calibri" w:cs="Times New Roman"/>
                <w:sz w:val="20"/>
                <w:szCs w:val="20"/>
                <w:lang w:eastAsia="tr-TR"/>
              </w:rPr>
            </w:pPr>
            <w:r>
              <w:rPr>
                <w:rFonts w:ascii="Calibri" w:eastAsia="Times New Roman" w:hAnsi="Calibri" w:cs="Times New Roman"/>
                <w:sz w:val="20"/>
                <w:szCs w:val="20"/>
                <w:lang w:eastAsia="tr-TR"/>
              </w:rPr>
              <w:t>İ</w:t>
            </w:r>
            <w:r w:rsidRPr="00CF0D99">
              <w:rPr>
                <w:rFonts w:ascii="Calibri" w:eastAsia="Times New Roman" w:hAnsi="Calibri" w:cs="Times New Roman"/>
                <w:sz w:val="20"/>
                <w:szCs w:val="20"/>
                <w:lang w:eastAsia="tr-TR"/>
              </w:rPr>
              <w:t>şçi</w:t>
            </w:r>
          </w:p>
        </w:tc>
        <w:tc>
          <w:tcPr>
            <w:tcW w:w="1601" w:type="dxa"/>
            <w:hideMark/>
          </w:tcPr>
          <w:p w:rsidR="00CF0D99" w:rsidRPr="00CF0D99" w:rsidRDefault="00CF0D99" w:rsidP="00CF0D99">
            <w:pPr>
              <w:spacing w:before="0" w:after="0" w:afterAutospacing="0"/>
              <w:jc w:val="right"/>
              <w:cnfStyle w:val="100000000000"/>
              <w:rPr>
                <w:rFonts w:ascii="Calibri" w:eastAsia="Times New Roman" w:hAnsi="Calibri" w:cs="Times New Roman"/>
                <w:sz w:val="20"/>
                <w:szCs w:val="20"/>
                <w:lang w:eastAsia="tr-TR"/>
              </w:rPr>
            </w:pPr>
            <w:r>
              <w:rPr>
                <w:rFonts w:ascii="Calibri" w:eastAsia="Times New Roman" w:hAnsi="Calibri" w:cs="Times New Roman"/>
                <w:sz w:val="20"/>
                <w:szCs w:val="20"/>
                <w:lang w:eastAsia="tr-TR"/>
              </w:rPr>
              <w:t>Ü</w:t>
            </w:r>
            <w:r w:rsidRPr="00CF0D99">
              <w:rPr>
                <w:rFonts w:ascii="Calibri" w:eastAsia="Times New Roman" w:hAnsi="Calibri" w:cs="Times New Roman"/>
                <w:sz w:val="20"/>
                <w:szCs w:val="20"/>
                <w:lang w:eastAsia="tr-TR"/>
              </w:rPr>
              <w:t>ye</w:t>
            </w:r>
          </w:p>
        </w:tc>
        <w:tc>
          <w:tcPr>
            <w:tcW w:w="1300" w:type="dxa"/>
            <w:noWrap/>
            <w:hideMark/>
          </w:tcPr>
          <w:p w:rsidR="00CF0D99" w:rsidRPr="00CF0D99" w:rsidRDefault="00CF0D99" w:rsidP="00CF0D99">
            <w:pPr>
              <w:spacing w:before="0" w:after="0" w:afterAutospacing="0"/>
              <w:jc w:val="right"/>
              <w:cnfStyle w:val="100000000000"/>
              <w:rPr>
                <w:rFonts w:ascii="Calibri" w:eastAsia="Times New Roman" w:hAnsi="Calibri" w:cs="Times New Roman"/>
                <w:sz w:val="20"/>
                <w:szCs w:val="20"/>
                <w:lang w:eastAsia="tr-TR"/>
              </w:rPr>
            </w:pPr>
            <w:r w:rsidRPr="00CF0D99">
              <w:rPr>
                <w:rFonts w:ascii="Calibri" w:eastAsia="Times New Roman" w:hAnsi="Calibri" w:cs="Times New Roman"/>
                <w:sz w:val="20"/>
                <w:szCs w:val="20"/>
                <w:lang w:eastAsia="tr-TR"/>
              </w:rPr>
              <w:t>Oran</w:t>
            </w:r>
          </w:p>
        </w:tc>
      </w:tr>
      <w:tr w:rsidR="006F4800" w:rsidRPr="00CF0D99" w:rsidTr="00245F6B">
        <w:trPr>
          <w:cnfStyle w:val="000000100000"/>
          <w:trHeight w:val="320"/>
        </w:trPr>
        <w:tc>
          <w:tcPr>
            <w:cnfStyle w:val="001000000000"/>
            <w:tcW w:w="1665" w:type="dxa"/>
            <w:noWrap/>
            <w:hideMark/>
          </w:tcPr>
          <w:p w:rsidR="00CF0D99" w:rsidRPr="00CF0D99" w:rsidRDefault="00CF0D99" w:rsidP="00CF0D99">
            <w:pPr>
              <w:spacing w:before="0" w:after="0" w:afterAutospacing="0"/>
              <w:rPr>
                <w:rFonts w:ascii="Calibri" w:eastAsia="Times New Roman" w:hAnsi="Calibri" w:cs="Times New Roman"/>
                <w:color w:val="000000"/>
                <w:sz w:val="20"/>
                <w:szCs w:val="20"/>
                <w:lang w:eastAsia="tr-TR"/>
              </w:rPr>
            </w:pPr>
            <w:r w:rsidRPr="00CF0D99">
              <w:rPr>
                <w:rFonts w:ascii="Calibri" w:eastAsia="Times New Roman" w:hAnsi="Calibri" w:cs="Times New Roman"/>
                <w:color w:val="000000"/>
                <w:sz w:val="20"/>
                <w:szCs w:val="20"/>
                <w:lang w:eastAsia="tr-TR"/>
              </w:rPr>
              <w:lastRenderedPageBreak/>
              <w:t>Erkek</w:t>
            </w:r>
          </w:p>
        </w:tc>
        <w:tc>
          <w:tcPr>
            <w:tcW w:w="1594" w:type="dxa"/>
            <w:noWrap/>
            <w:hideMark/>
          </w:tcPr>
          <w:p w:rsidR="00CF0D99" w:rsidRPr="00CF0D99" w:rsidRDefault="00CF0D99" w:rsidP="00CF0D99">
            <w:pPr>
              <w:spacing w:before="0" w:after="0" w:afterAutospacing="0"/>
              <w:jc w:val="right"/>
              <w:cnfStyle w:val="000000100000"/>
              <w:rPr>
                <w:rFonts w:ascii="Calibri" w:eastAsia="Times New Roman" w:hAnsi="Calibri" w:cs="Times New Roman"/>
                <w:color w:val="000000"/>
                <w:sz w:val="20"/>
                <w:szCs w:val="20"/>
                <w:lang w:eastAsia="tr-TR"/>
              </w:rPr>
            </w:pPr>
            <w:r w:rsidRPr="00CF0D99">
              <w:rPr>
                <w:rFonts w:ascii="Calibri" w:eastAsia="Times New Roman" w:hAnsi="Calibri" w:cs="Times New Roman"/>
                <w:color w:val="000000"/>
                <w:sz w:val="20"/>
                <w:szCs w:val="20"/>
                <w:lang w:eastAsia="tr-TR"/>
              </w:rPr>
              <w:t xml:space="preserve"> 9.131.759 </w:t>
            </w:r>
          </w:p>
        </w:tc>
        <w:tc>
          <w:tcPr>
            <w:tcW w:w="1601" w:type="dxa"/>
            <w:noWrap/>
            <w:hideMark/>
          </w:tcPr>
          <w:p w:rsidR="00CF0D99" w:rsidRPr="00CF0D99" w:rsidRDefault="00CF0D99" w:rsidP="00CF0D99">
            <w:pPr>
              <w:spacing w:before="0" w:after="0" w:afterAutospacing="0"/>
              <w:jc w:val="right"/>
              <w:cnfStyle w:val="000000100000"/>
              <w:rPr>
                <w:rFonts w:ascii="Calibri" w:eastAsia="Times New Roman" w:hAnsi="Calibri" w:cs="Times New Roman"/>
                <w:color w:val="000000"/>
                <w:sz w:val="20"/>
                <w:szCs w:val="20"/>
                <w:lang w:eastAsia="tr-TR"/>
              </w:rPr>
            </w:pPr>
            <w:r w:rsidRPr="00CF0D99">
              <w:rPr>
                <w:rFonts w:ascii="Calibri" w:eastAsia="Times New Roman" w:hAnsi="Calibri" w:cs="Times New Roman"/>
                <w:color w:val="000000"/>
                <w:sz w:val="20"/>
                <w:szCs w:val="20"/>
                <w:lang w:eastAsia="tr-TR"/>
              </w:rPr>
              <w:t xml:space="preserve"> 1.193.992 </w:t>
            </w:r>
          </w:p>
        </w:tc>
        <w:tc>
          <w:tcPr>
            <w:tcW w:w="1300" w:type="dxa"/>
            <w:noWrap/>
            <w:hideMark/>
          </w:tcPr>
          <w:p w:rsidR="00CF0D99" w:rsidRPr="00CF0D99" w:rsidRDefault="00CF0D99" w:rsidP="00CF0D99">
            <w:pPr>
              <w:spacing w:before="0" w:after="0" w:afterAutospacing="0"/>
              <w:jc w:val="right"/>
              <w:cnfStyle w:val="000000100000"/>
              <w:rPr>
                <w:rFonts w:ascii="Calibri" w:eastAsia="Times New Roman" w:hAnsi="Calibri" w:cs="Times New Roman"/>
                <w:color w:val="000000"/>
                <w:sz w:val="20"/>
                <w:szCs w:val="20"/>
                <w:lang w:eastAsia="tr-TR"/>
              </w:rPr>
            </w:pPr>
            <w:r w:rsidRPr="00CF0D99">
              <w:rPr>
                <w:rFonts w:ascii="Calibri" w:eastAsia="Times New Roman" w:hAnsi="Calibri" w:cs="Times New Roman"/>
                <w:color w:val="000000"/>
                <w:sz w:val="20"/>
                <w:szCs w:val="20"/>
                <w:lang w:eastAsia="tr-TR"/>
              </w:rPr>
              <w:t>13,1%</w:t>
            </w:r>
          </w:p>
        </w:tc>
      </w:tr>
      <w:tr w:rsidR="006F4800" w:rsidRPr="00CF0D99" w:rsidTr="00245F6B">
        <w:trPr>
          <w:trHeight w:val="320"/>
        </w:trPr>
        <w:tc>
          <w:tcPr>
            <w:cnfStyle w:val="001000000000"/>
            <w:tcW w:w="1665" w:type="dxa"/>
            <w:noWrap/>
            <w:hideMark/>
          </w:tcPr>
          <w:p w:rsidR="00CF0D99" w:rsidRPr="00CF0D99" w:rsidRDefault="00CF0D99" w:rsidP="00CF0D99">
            <w:pPr>
              <w:spacing w:before="0" w:after="0" w:afterAutospacing="0"/>
              <w:rPr>
                <w:rFonts w:ascii="Calibri" w:eastAsia="Times New Roman" w:hAnsi="Calibri" w:cs="Times New Roman"/>
                <w:color w:val="000000"/>
                <w:sz w:val="20"/>
                <w:szCs w:val="20"/>
                <w:lang w:eastAsia="tr-TR"/>
              </w:rPr>
            </w:pPr>
            <w:r w:rsidRPr="00CF0D99">
              <w:rPr>
                <w:rFonts w:ascii="Calibri" w:eastAsia="Times New Roman" w:hAnsi="Calibri" w:cs="Times New Roman"/>
                <w:color w:val="000000"/>
                <w:sz w:val="20"/>
                <w:szCs w:val="20"/>
                <w:lang w:eastAsia="tr-TR"/>
              </w:rPr>
              <w:t>Kadın</w:t>
            </w:r>
          </w:p>
        </w:tc>
        <w:tc>
          <w:tcPr>
            <w:tcW w:w="1594" w:type="dxa"/>
            <w:noWrap/>
            <w:hideMark/>
          </w:tcPr>
          <w:p w:rsidR="00CF0D99" w:rsidRPr="00CF0D99" w:rsidRDefault="00CF0D99" w:rsidP="00CF0D99">
            <w:pPr>
              <w:spacing w:before="0" w:after="0" w:afterAutospacing="0"/>
              <w:jc w:val="right"/>
              <w:cnfStyle w:val="000000000000"/>
              <w:rPr>
                <w:rFonts w:ascii="Calibri" w:eastAsia="Times New Roman" w:hAnsi="Calibri" w:cs="Times New Roman"/>
                <w:color w:val="000000"/>
                <w:sz w:val="20"/>
                <w:szCs w:val="20"/>
                <w:lang w:eastAsia="tr-TR"/>
              </w:rPr>
            </w:pPr>
            <w:r w:rsidRPr="00CF0D99">
              <w:rPr>
                <w:rFonts w:ascii="Calibri" w:eastAsia="Times New Roman" w:hAnsi="Calibri" w:cs="Times New Roman"/>
                <w:color w:val="000000"/>
                <w:sz w:val="20"/>
                <w:szCs w:val="20"/>
                <w:lang w:eastAsia="tr-TR"/>
              </w:rPr>
              <w:t xml:space="preserve"> 3.330.516 </w:t>
            </w:r>
          </w:p>
        </w:tc>
        <w:tc>
          <w:tcPr>
            <w:tcW w:w="1601" w:type="dxa"/>
            <w:noWrap/>
            <w:hideMark/>
          </w:tcPr>
          <w:p w:rsidR="00CF0D99" w:rsidRPr="00CF0D99" w:rsidRDefault="00CF0D99" w:rsidP="00CF0D99">
            <w:pPr>
              <w:spacing w:before="0" w:after="0" w:afterAutospacing="0"/>
              <w:jc w:val="right"/>
              <w:cnfStyle w:val="000000000000"/>
              <w:rPr>
                <w:rFonts w:ascii="Calibri" w:eastAsia="Times New Roman" w:hAnsi="Calibri" w:cs="Times New Roman"/>
                <w:color w:val="000000"/>
                <w:sz w:val="20"/>
                <w:szCs w:val="20"/>
                <w:lang w:eastAsia="tr-TR"/>
              </w:rPr>
            </w:pPr>
            <w:r w:rsidRPr="00CF0D99">
              <w:rPr>
                <w:rFonts w:ascii="Calibri" w:eastAsia="Times New Roman" w:hAnsi="Calibri" w:cs="Times New Roman"/>
                <w:color w:val="000000"/>
                <w:sz w:val="20"/>
                <w:szCs w:val="20"/>
                <w:lang w:eastAsia="tr-TR"/>
              </w:rPr>
              <w:t xml:space="preserve"> 254.121 </w:t>
            </w:r>
          </w:p>
        </w:tc>
        <w:tc>
          <w:tcPr>
            <w:tcW w:w="1300" w:type="dxa"/>
            <w:noWrap/>
            <w:hideMark/>
          </w:tcPr>
          <w:p w:rsidR="00CF0D99" w:rsidRPr="00CF0D99" w:rsidRDefault="00CF0D99" w:rsidP="00CF0D99">
            <w:pPr>
              <w:spacing w:before="0" w:after="0" w:afterAutospacing="0"/>
              <w:jc w:val="right"/>
              <w:cnfStyle w:val="000000000000"/>
              <w:rPr>
                <w:rFonts w:ascii="Calibri" w:eastAsia="Times New Roman" w:hAnsi="Calibri" w:cs="Times New Roman"/>
                <w:color w:val="000000"/>
                <w:sz w:val="20"/>
                <w:szCs w:val="20"/>
                <w:lang w:eastAsia="tr-TR"/>
              </w:rPr>
            </w:pPr>
            <w:r w:rsidRPr="00CF0D99">
              <w:rPr>
                <w:rFonts w:ascii="Calibri" w:eastAsia="Times New Roman" w:hAnsi="Calibri" w:cs="Times New Roman"/>
                <w:color w:val="000000"/>
                <w:sz w:val="20"/>
                <w:szCs w:val="20"/>
                <w:lang w:eastAsia="tr-TR"/>
              </w:rPr>
              <w:t>7,6%</w:t>
            </w:r>
          </w:p>
        </w:tc>
      </w:tr>
    </w:tbl>
    <w:p w:rsidR="004D1067" w:rsidRDefault="004D1067" w:rsidP="004D1067">
      <w:pPr>
        <w:pStyle w:val="Balk2"/>
      </w:pPr>
      <w:r>
        <w:t>Toplu İş Sözleşmesi Kapsamı</w:t>
      </w:r>
    </w:p>
    <w:p w:rsidR="0066319D" w:rsidRDefault="0066319D" w:rsidP="0066319D">
      <w:r>
        <w:rPr>
          <w:rFonts w:eastAsia="Avenir Medium" w:cs="Avenir Medium"/>
          <w:szCs w:val="22"/>
        </w:rPr>
        <w:t xml:space="preserve">Toplu iş sözleşmesi kapsamı sendikalı işçilerin sendikal hakları ne ölçüde kullanabildiğini göstermektedir. Toplu iş sözleşmesi kapsamında olmayan sendikalı işçinin gerçek bir sendikal korumadan yararlandığını söylemek mümkün değildir. </w:t>
      </w:r>
    </w:p>
    <w:p w:rsidR="0066319D" w:rsidRDefault="0066319D" w:rsidP="0066319D">
      <w:r>
        <w:rPr>
          <w:rFonts w:eastAsia="Avenir Medium" w:cs="Avenir Medium"/>
          <w:szCs w:val="22"/>
        </w:rPr>
        <w:t xml:space="preserve">Pek çok ülkede toplu iş sözleşmesi kapsamındaki işçi oranı sendikalı işçi oranından daha yüksektir. Örneğin AB ülkelerinde sendikalaşma oranı ortalama yüzde 20-25 civarında iken, toplu iş sözleşmesi kapsamındaki işçi oranı yüzde 65’e yaklaşmaktadır.  Teşmil uygulamaları yoluyla sendika üyesi olmayan işçiler de sendikaların imzaladığı toplu iş sözleşmelerinden yararlanmaktadır. </w:t>
      </w:r>
    </w:p>
    <w:p w:rsidR="0066319D" w:rsidRDefault="0066319D" w:rsidP="0066319D">
      <w:r>
        <w:rPr>
          <w:rFonts w:eastAsia="Avenir Medium" w:cs="Avenir Medium"/>
          <w:szCs w:val="22"/>
        </w:rPr>
        <w:t xml:space="preserve">Türkiye’de ise toplu iş sözleşmesi kapsamındaki işçi sayısı sendikalı işçi sayısının çok altındadır. ÇSGB verilerine göre Aralık 2015 itibariyle toplu iş sözleşmesi kapsamındaki işçi sayısı 1 milyon 4 bindir. Oysa aynı tarih itibariyle sendikalı işçi sayısı 1 milyon 514 bindir. 510 bin işçi sendika üyesi olduğu halde toplu iş sözleşmesinden yararlanamamaktadır. Bir diğer ifadeyle sendikalı işçilerin üçte biri toplu iş sözleşmesinden mahrumdur (Tablo 5 ve Tablo 6). </w:t>
      </w:r>
    </w:p>
    <w:p w:rsidR="0066319D" w:rsidRDefault="0066319D" w:rsidP="0066319D">
      <w:r>
        <w:rPr>
          <w:rFonts w:eastAsia="Avenir Medium" w:cs="Avenir Medium"/>
          <w:szCs w:val="22"/>
        </w:rPr>
        <w:t>Toplu iş sözleşmesi kapsamı dışındaki sendikalı işçi sayısı giderek büyümektedir. 2012’de 311 bin sendika üyesi toplu iş sözleşmesi kapsamı dışındaydı. 2014 yılında bu sayı 343 bine, 2015 yılında ise 510 bine yükseldi.</w:t>
      </w:r>
    </w:p>
    <w:p w:rsidR="00601FFE" w:rsidRDefault="00601FFE" w:rsidP="00601FFE">
      <w:pPr>
        <w:pStyle w:val="Balk3"/>
      </w:pPr>
      <w:r>
        <w:t>Tablo</w:t>
      </w:r>
      <w:r w:rsidR="00185878">
        <w:t xml:space="preserve"> 5</w:t>
      </w:r>
      <w:r>
        <w:t>: Toplu İş Sözleşmesi Kapsamı Dışındaki Sendika Üyeleri (2012-2015)</w:t>
      </w:r>
    </w:p>
    <w:tbl>
      <w:tblPr>
        <w:tblStyle w:val="GridTable4Accent1"/>
        <w:tblW w:w="7780" w:type="dxa"/>
        <w:tblLook w:val="04A0"/>
      </w:tblPr>
      <w:tblGrid>
        <w:gridCol w:w="1300"/>
        <w:gridCol w:w="2060"/>
        <w:gridCol w:w="1460"/>
        <w:gridCol w:w="1660"/>
        <w:gridCol w:w="1300"/>
      </w:tblGrid>
      <w:tr w:rsidR="005F0234" w:rsidRPr="005F0234" w:rsidTr="005F0234">
        <w:trPr>
          <w:cnfStyle w:val="100000000000"/>
          <w:trHeight w:val="300"/>
        </w:trPr>
        <w:tc>
          <w:tcPr>
            <w:cnfStyle w:val="001000000000"/>
            <w:tcW w:w="1300" w:type="dxa"/>
            <w:noWrap/>
            <w:hideMark/>
          </w:tcPr>
          <w:p w:rsidR="005F0234" w:rsidRPr="005F0234" w:rsidRDefault="005F0234" w:rsidP="005F0234">
            <w:pPr>
              <w:spacing w:before="0" w:after="0" w:afterAutospacing="0"/>
              <w:jc w:val="left"/>
              <w:rPr>
                <w:rFonts w:asciiTheme="minorHAnsi" w:hAnsiTheme="minorHAnsi" w:cs="Times New Roman"/>
                <w:sz w:val="20"/>
                <w:szCs w:val="20"/>
                <w:lang w:eastAsia="tr-TR"/>
              </w:rPr>
            </w:pPr>
          </w:p>
        </w:tc>
        <w:tc>
          <w:tcPr>
            <w:tcW w:w="2060" w:type="dxa"/>
            <w:noWrap/>
            <w:hideMark/>
          </w:tcPr>
          <w:p w:rsidR="005F0234" w:rsidRPr="005F0234" w:rsidRDefault="005F0234" w:rsidP="005F0234">
            <w:pPr>
              <w:spacing w:before="0" w:after="0" w:afterAutospacing="0"/>
              <w:jc w:val="left"/>
              <w:cnfStyle w:val="100000000000"/>
              <w:rPr>
                <w:rFonts w:ascii="Calibri" w:eastAsia="Times New Roman" w:hAnsi="Calibri" w:cs="Times New Roman"/>
                <w:szCs w:val="22"/>
                <w:lang w:eastAsia="tr-TR"/>
              </w:rPr>
            </w:pPr>
            <w:r w:rsidRPr="005F0234">
              <w:rPr>
                <w:rFonts w:ascii="Calibri" w:eastAsia="Times New Roman" w:hAnsi="Calibri" w:cs="Times New Roman"/>
                <w:szCs w:val="22"/>
                <w:lang w:eastAsia="tr-TR"/>
              </w:rPr>
              <w:t>Sendika Üyesi</w:t>
            </w:r>
          </w:p>
        </w:tc>
        <w:tc>
          <w:tcPr>
            <w:tcW w:w="1460" w:type="dxa"/>
            <w:noWrap/>
            <w:hideMark/>
          </w:tcPr>
          <w:p w:rsidR="005F0234" w:rsidRPr="005F0234" w:rsidRDefault="005F0234" w:rsidP="005F0234">
            <w:pPr>
              <w:spacing w:before="0" w:after="0" w:afterAutospacing="0"/>
              <w:jc w:val="left"/>
              <w:cnfStyle w:val="100000000000"/>
              <w:rPr>
                <w:rFonts w:ascii="Calibri" w:eastAsia="Times New Roman" w:hAnsi="Calibri" w:cs="Times New Roman"/>
                <w:szCs w:val="22"/>
                <w:lang w:eastAsia="tr-TR"/>
              </w:rPr>
            </w:pPr>
            <w:r w:rsidRPr="005F0234">
              <w:rPr>
                <w:rFonts w:ascii="Calibri" w:eastAsia="Times New Roman" w:hAnsi="Calibri" w:cs="Times New Roman"/>
                <w:szCs w:val="22"/>
                <w:lang w:eastAsia="tr-TR"/>
              </w:rPr>
              <w:t>TİS Kapsamı</w:t>
            </w:r>
          </w:p>
        </w:tc>
        <w:tc>
          <w:tcPr>
            <w:tcW w:w="1660" w:type="dxa"/>
            <w:noWrap/>
            <w:hideMark/>
          </w:tcPr>
          <w:p w:rsidR="005F0234" w:rsidRPr="005F0234" w:rsidRDefault="005F0234" w:rsidP="005F0234">
            <w:pPr>
              <w:spacing w:before="0" w:after="0" w:afterAutospacing="0"/>
              <w:jc w:val="left"/>
              <w:cnfStyle w:val="100000000000"/>
              <w:rPr>
                <w:rFonts w:ascii="Calibri" w:eastAsia="Times New Roman" w:hAnsi="Calibri" w:cs="Times New Roman"/>
                <w:szCs w:val="22"/>
                <w:lang w:eastAsia="tr-TR"/>
              </w:rPr>
            </w:pPr>
            <w:r w:rsidRPr="005F0234">
              <w:rPr>
                <w:rFonts w:ascii="Calibri" w:eastAsia="Times New Roman" w:hAnsi="Calibri" w:cs="Times New Roman"/>
                <w:szCs w:val="22"/>
                <w:lang w:eastAsia="tr-TR"/>
              </w:rPr>
              <w:t>TİS kapsamı dışı üye</w:t>
            </w:r>
            <w:r w:rsidR="00601FFE">
              <w:rPr>
                <w:rFonts w:ascii="Calibri" w:eastAsia="Times New Roman" w:hAnsi="Calibri" w:cs="Times New Roman"/>
                <w:szCs w:val="22"/>
                <w:lang w:eastAsia="tr-TR"/>
              </w:rPr>
              <w:t xml:space="preserve"> sayısı</w:t>
            </w:r>
          </w:p>
        </w:tc>
        <w:tc>
          <w:tcPr>
            <w:tcW w:w="1300" w:type="dxa"/>
            <w:noWrap/>
            <w:hideMark/>
          </w:tcPr>
          <w:p w:rsidR="005F0234" w:rsidRPr="005F0234" w:rsidRDefault="00601FFE" w:rsidP="005F0234">
            <w:pPr>
              <w:spacing w:before="0" w:after="0" w:afterAutospacing="0"/>
              <w:jc w:val="left"/>
              <w:cnfStyle w:val="100000000000"/>
              <w:rPr>
                <w:rFonts w:ascii="Calibri" w:eastAsia="Times New Roman" w:hAnsi="Calibri" w:cs="Times New Roman"/>
                <w:szCs w:val="22"/>
                <w:lang w:eastAsia="tr-TR"/>
              </w:rPr>
            </w:pPr>
            <w:r>
              <w:rPr>
                <w:rFonts w:ascii="Calibri" w:eastAsia="Times New Roman" w:hAnsi="Calibri" w:cs="Times New Roman"/>
                <w:szCs w:val="22"/>
                <w:lang w:eastAsia="tr-TR"/>
              </w:rPr>
              <w:t>Oran</w:t>
            </w:r>
          </w:p>
        </w:tc>
      </w:tr>
      <w:tr w:rsidR="005F0234" w:rsidRPr="005F0234" w:rsidTr="005F0234">
        <w:trPr>
          <w:cnfStyle w:val="000000100000"/>
          <w:trHeight w:val="300"/>
        </w:trPr>
        <w:tc>
          <w:tcPr>
            <w:cnfStyle w:val="001000000000"/>
            <w:tcW w:w="1300" w:type="dxa"/>
            <w:noWrap/>
            <w:hideMark/>
          </w:tcPr>
          <w:p w:rsidR="005F0234" w:rsidRPr="005F0234" w:rsidRDefault="005F0234" w:rsidP="005F0234">
            <w:pPr>
              <w:spacing w:before="0" w:after="0" w:afterAutospacing="0"/>
              <w:jc w:val="right"/>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2012</w:t>
            </w:r>
          </w:p>
        </w:tc>
        <w:tc>
          <w:tcPr>
            <w:tcW w:w="2060" w:type="dxa"/>
            <w:noWrap/>
            <w:hideMark/>
          </w:tcPr>
          <w:p w:rsidR="005F0234" w:rsidRPr="005F0234" w:rsidRDefault="005F0234" w:rsidP="005F0234">
            <w:pPr>
              <w:spacing w:before="0" w:after="0" w:afterAutospacing="0"/>
              <w:jc w:val="right"/>
              <w:cnfStyle w:val="000000100000"/>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 xml:space="preserve"> 1.001.671 </w:t>
            </w:r>
          </w:p>
        </w:tc>
        <w:tc>
          <w:tcPr>
            <w:tcW w:w="1460" w:type="dxa"/>
            <w:noWrap/>
            <w:hideMark/>
          </w:tcPr>
          <w:p w:rsidR="005F0234" w:rsidRPr="005F0234" w:rsidRDefault="005F0234" w:rsidP="005F0234">
            <w:pPr>
              <w:spacing w:before="0" w:after="0" w:afterAutospacing="0"/>
              <w:jc w:val="right"/>
              <w:cnfStyle w:val="000000100000"/>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 xml:space="preserve"> 689.915 </w:t>
            </w:r>
          </w:p>
        </w:tc>
        <w:tc>
          <w:tcPr>
            <w:tcW w:w="1660" w:type="dxa"/>
            <w:noWrap/>
            <w:hideMark/>
          </w:tcPr>
          <w:p w:rsidR="005F0234" w:rsidRPr="005F0234" w:rsidRDefault="005F0234" w:rsidP="005F0234">
            <w:pPr>
              <w:spacing w:before="0" w:after="0" w:afterAutospacing="0"/>
              <w:jc w:val="right"/>
              <w:cnfStyle w:val="000000100000"/>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 xml:space="preserve"> 311.756 </w:t>
            </w:r>
          </w:p>
        </w:tc>
        <w:tc>
          <w:tcPr>
            <w:tcW w:w="1300" w:type="dxa"/>
            <w:noWrap/>
            <w:hideMark/>
          </w:tcPr>
          <w:p w:rsidR="005F0234" w:rsidRPr="005F0234" w:rsidRDefault="005F0234" w:rsidP="005F0234">
            <w:pPr>
              <w:spacing w:before="0" w:after="0" w:afterAutospacing="0"/>
              <w:jc w:val="right"/>
              <w:cnfStyle w:val="000000100000"/>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31,1%</w:t>
            </w:r>
          </w:p>
        </w:tc>
      </w:tr>
      <w:tr w:rsidR="005F0234" w:rsidRPr="005F0234" w:rsidTr="005F0234">
        <w:trPr>
          <w:trHeight w:val="300"/>
        </w:trPr>
        <w:tc>
          <w:tcPr>
            <w:cnfStyle w:val="001000000000"/>
            <w:tcW w:w="1300" w:type="dxa"/>
            <w:noWrap/>
            <w:hideMark/>
          </w:tcPr>
          <w:p w:rsidR="005F0234" w:rsidRPr="005F0234" w:rsidRDefault="005F0234" w:rsidP="005F0234">
            <w:pPr>
              <w:spacing w:before="0" w:after="0" w:afterAutospacing="0"/>
              <w:jc w:val="right"/>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2013</w:t>
            </w:r>
          </w:p>
        </w:tc>
        <w:tc>
          <w:tcPr>
            <w:tcW w:w="2060" w:type="dxa"/>
            <w:noWrap/>
            <w:hideMark/>
          </w:tcPr>
          <w:p w:rsidR="005F0234" w:rsidRPr="005F0234" w:rsidRDefault="005F0234" w:rsidP="005F0234">
            <w:pPr>
              <w:spacing w:before="0" w:after="0" w:afterAutospacing="0"/>
              <w:jc w:val="right"/>
              <w:cnfStyle w:val="000000000000"/>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 xml:space="preserve"> 1.096.540 </w:t>
            </w:r>
          </w:p>
        </w:tc>
        <w:tc>
          <w:tcPr>
            <w:tcW w:w="1460" w:type="dxa"/>
            <w:noWrap/>
            <w:hideMark/>
          </w:tcPr>
          <w:p w:rsidR="005F0234" w:rsidRPr="005F0234" w:rsidRDefault="005F0234" w:rsidP="005F0234">
            <w:pPr>
              <w:spacing w:before="0" w:after="0" w:afterAutospacing="0"/>
              <w:jc w:val="right"/>
              <w:cnfStyle w:val="000000000000"/>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 xml:space="preserve"> 875.794 </w:t>
            </w:r>
          </w:p>
        </w:tc>
        <w:tc>
          <w:tcPr>
            <w:tcW w:w="1660" w:type="dxa"/>
            <w:noWrap/>
            <w:hideMark/>
          </w:tcPr>
          <w:p w:rsidR="005F0234" w:rsidRPr="005F0234" w:rsidRDefault="005F0234" w:rsidP="005F0234">
            <w:pPr>
              <w:spacing w:before="0" w:after="0" w:afterAutospacing="0"/>
              <w:jc w:val="right"/>
              <w:cnfStyle w:val="000000000000"/>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 xml:space="preserve"> 220.746 </w:t>
            </w:r>
          </w:p>
        </w:tc>
        <w:tc>
          <w:tcPr>
            <w:tcW w:w="1300" w:type="dxa"/>
            <w:noWrap/>
            <w:hideMark/>
          </w:tcPr>
          <w:p w:rsidR="005F0234" w:rsidRPr="005F0234" w:rsidRDefault="005F0234" w:rsidP="005F0234">
            <w:pPr>
              <w:spacing w:before="0" w:after="0" w:afterAutospacing="0"/>
              <w:jc w:val="right"/>
              <w:cnfStyle w:val="000000000000"/>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20,1%</w:t>
            </w:r>
          </w:p>
        </w:tc>
      </w:tr>
      <w:tr w:rsidR="005F0234" w:rsidRPr="005F0234" w:rsidTr="005F0234">
        <w:trPr>
          <w:cnfStyle w:val="000000100000"/>
          <w:trHeight w:val="300"/>
        </w:trPr>
        <w:tc>
          <w:tcPr>
            <w:cnfStyle w:val="001000000000"/>
            <w:tcW w:w="1300" w:type="dxa"/>
            <w:noWrap/>
            <w:hideMark/>
          </w:tcPr>
          <w:p w:rsidR="005F0234" w:rsidRPr="005F0234" w:rsidRDefault="005F0234" w:rsidP="005F0234">
            <w:pPr>
              <w:spacing w:before="0" w:after="0" w:afterAutospacing="0"/>
              <w:jc w:val="right"/>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2014</w:t>
            </w:r>
          </w:p>
        </w:tc>
        <w:tc>
          <w:tcPr>
            <w:tcW w:w="2060" w:type="dxa"/>
            <w:noWrap/>
            <w:hideMark/>
          </w:tcPr>
          <w:p w:rsidR="005F0234" w:rsidRPr="005F0234" w:rsidRDefault="005F0234" w:rsidP="005F0234">
            <w:pPr>
              <w:spacing w:before="0" w:after="0" w:afterAutospacing="0"/>
              <w:jc w:val="right"/>
              <w:cnfStyle w:val="000000100000"/>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 xml:space="preserve"> 1.297.464 </w:t>
            </w:r>
          </w:p>
        </w:tc>
        <w:tc>
          <w:tcPr>
            <w:tcW w:w="1460" w:type="dxa"/>
            <w:noWrap/>
            <w:hideMark/>
          </w:tcPr>
          <w:p w:rsidR="005F0234" w:rsidRPr="005F0234" w:rsidRDefault="005F0234" w:rsidP="005F0234">
            <w:pPr>
              <w:spacing w:before="0" w:after="0" w:afterAutospacing="0"/>
              <w:jc w:val="right"/>
              <w:cnfStyle w:val="000000100000"/>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 xml:space="preserve"> 954.192 </w:t>
            </w:r>
          </w:p>
        </w:tc>
        <w:tc>
          <w:tcPr>
            <w:tcW w:w="1660" w:type="dxa"/>
            <w:noWrap/>
            <w:hideMark/>
          </w:tcPr>
          <w:p w:rsidR="005F0234" w:rsidRPr="005F0234" w:rsidRDefault="005F0234" w:rsidP="005F0234">
            <w:pPr>
              <w:spacing w:before="0" w:after="0" w:afterAutospacing="0"/>
              <w:jc w:val="right"/>
              <w:cnfStyle w:val="000000100000"/>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 xml:space="preserve"> 343.272 </w:t>
            </w:r>
          </w:p>
        </w:tc>
        <w:tc>
          <w:tcPr>
            <w:tcW w:w="1300" w:type="dxa"/>
            <w:noWrap/>
            <w:hideMark/>
          </w:tcPr>
          <w:p w:rsidR="005F0234" w:rsidRPr="005F0234" w:rsidRDefault="005F0234" w:rsidP="005F0234">
            <w:pPr>
              <w:spacing w:before="0" w:after="0" w:afterAutospacing="0"/>
              <w:jc w:val="right"/>
              <w:cnfStyle w:val="000000100000"/>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26,5%</w:t>
            </w:r>
          </w:p>
        </w:tc>
      </w:tr>
      <w:tr w:rsidR="005F0234" w:rsidRPr="005F0234" w:rsidTr="005F0234">
        <w:trPr>
          <w:trHeight w:val="300"/>
        </w:trPr>
        <w:tc>
          <w:tcPr>
            <w:cnfStyle w:val="001000000000"/>
            <w:tcW w:w="1300" w:type="dxa"/>
            <w:noWrap/>
            <w:hideMark/>
          </w:tcPr>
          <w:p w:rsidR="005F0234" w:rsidRPr="005F0234" w:rsidRDefault="005F0234" w:rsidP="005F0234">
            <w:pPr>
              <w:spacing w:before="0" w:after="0" w:afterAutospacing="0"/>
              <w:jc w:val="right"/>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2015</w:t>
            </w:r>
          </w:p>
        </w:tc>
        <w:tc>
          <w:tcPr>
            <w:tcW w:w="2060" w:type="dxa"/>
            <w:noWrap/>
            <w:hideMark/>
          </w:tcPr>
          <w:p w:rsidR="005F0234" w:rsidRPr="005F0234" w:rsidRDefault="005F0234" w:rsidP="005F0234">
            <w:pPr>
              <w:spacing w:before="0" w:after="0" w:afterAutospacing="0"/>
              <w:jc w:val="right"/>
              <w:cnfStyle w:val="000000000000"/>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 xml:space="preserve"> 1.514.053 </w:t>
            </w:r>
          </w:p>
        </w:tc>
        <w:tc>
          <w:tcPr>
            <w:tcW w:w="1460" w:type="dxa"/>
            <w:noWrap/>
            <w:hideMark/>
          </w:tcPr>
          <w:p w:rsidR="005F0234" w:rsidRPr="005F0234" w:rsidRDefault="005F0234" w:rsidP="005F0234">
            <w:pPr>
              <w:spacing w:before="0" w:after="0" w:afterAutospacing="0"/>
              <w:jc w:val="right"/>
              <w:cnfStyle w:val="000000000000"/>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 xml:space="preserve"> 1.004.143 </w:t>
            </w:r>
          </w:p>
        </w:tc>
        <w:tc>
          <w:tcPr>
            <w:tcW w:w="1660" w:type="dxa"/>
            <w:noWrap/>
            <w:hideMark/>
          </w:tcPr>
          <w:p w:rsidR="005F0234" w:rsidRPr="005F0234" w:rsidRDefault="005F0234" w:rsidP="005F0234">
            <w:pPr>
              <w:spacing w:before="0" w:after="0" w:afterAutospacing="0"/>
              <w:jc w:val="right"/>
              <w:cnfStyle w:val="000000000000"/>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 xml:space="preserve"> 509.910 </w:t>
            </w:r>
          </w:p>
        </w:tc>
        <w:tc>
          <w:tcPr>
            <w:tcW w:w="1300" w:type="dxa"/>
            <w:noWrap/>
            <w:hideMark/>
          </w:tcPr>
          <w:p w:rsidR="005F0234" w:rsidRPr="005F0234" w:rsidRDefault="005F0234" w:rsidP="005F0234">
            <w:pPr>
              <w:spacing w:before="0" w:after="0" w:afterAutospacing="0"/>
              <w:jc w:val="right"/>
              <w:cnfStyle w:val="000000000000"/>
              <w:rPr>
                <w:rFonts w:ascii="Calibri" w:eastAsia="Times New Roman" w:hAnsi="Calibri" w:cs="Times New Roman"/>
                <w:color w:val="000000"/>
                <w:szCs w:val="22"/>
                <w:lang w:eastAsia="tr-TR"/>
              </w:rPr>
            </w:pPr>
            <w:r w:rsidRPr="005F0234">
              <w:rPr>
                <w:rFonts w:ascii="Calibri" w:eastAsia="Times New Roman" w:hAnsi="Calibri" w:cs="Times New Roman"/>
                <w:color w:val="000000"/>
                <w:szCs w:val="22"/>
                <w:lang w:eastAsia="tr-TR"/>
              </w:rPr>
              <w:t>33,7%</w:t>
            </w:r>
          </w:p>
        </w:tc>
      </w:tr>
    </w:tbl>
    <w:p w:rsidR="0066319D" w:rsidRDefault="0066319D" w:rsidP="0066319D">
      <w:r>
        <w:rPr>
          <w:rFonts w:eastAsia="Avenir Medium" w:cs="Avenir Medium"/>
          <w:szCs w:val="22"/>
        </w:rPr>
        <w:t xml:space="preserve">Sendikalı işçilerin üçte birinin toplu iş sözleşmesi kapsamı dışında kalması toplu iş sözleşmesi isteminin iflası anlamına gelmektedir. Bunun en temel nedeni işkolu, işletme ve işyeri barajları ile anti-demokratik toplu iş sözleşmesi yetki mekanizmasıdır. Öte yandan son yıllarda taşeron işçilerde artan sendikalaşmaya rağmen toplu iş sözleşmelerinde büyük bir tıkanma yaşanmaktadır. Bu durum da sendikalı işçilerin toplu iş sözleşmesinden yararlanmasını zorlaştırmaktadır. </w:t>
      </w:r>
    </w:p>
    <w:p w:rsidR="00502580" w:rsidRDefault="00502580" w:rsidP="00502580">
      <w:pPr>
        <w:pStyle w:val="Balk3"/>
      </w:pPr>
      <w:r>
        <w:t>Tablo</w:t>
      </w:r>
      <w:r w:rsidR="00185878">
        <w:t xml:space="preserve"> 6</w:t>
      </w:r>
      <w:r>
        <w:t xml:space="preserve">: </w:t>
      </w:r>
      <w:r w:rsidR="007A6ECA">
        <w:t>İşkollarına göre t</w:t>
      </w:r>
      <w:r>
        <w:t>oplu iş sözleşmesi kapsamı (Aralık 2015)</w:t>
      </w:r>
    </w:p>
    <w:tbl>
      <w:tblPr>
        <w:tblStyle w:val="GridTable4Accent1"/>
        <w:tblW w:w="6290" w:type="dxa"/>
        <w:tblLayout w:type="fixed"/>
        <w:tblLook w:val="04A0"/>
      </w:tblPr>
      <w:tblGrid>
        <w:gridCol w:w="2941"/>
        <w:gridCol w:w="1116"/>
        <w:gridCol w:w="1116"/>
        <w:gridCol w:w="1117"/>
      </w:tblGrid>
      <w:tr w:rsidR="00467191" w:rsidRPr="004732E8" w:rsidTr="00AB5013">
        <w:trPr>
          <w:cnfStyle w:val="100000000000"/>
          <w:trHeight w:val="300"/>
        </w:trPr>
        <w:tc>
          <w:tcPr>
            <w:cnfStyle w:val="001000000000"/>
            <w:tcW w:w="2941" w:type="dxa"/>
            <w:vMerge w:val="restart"/>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sz w:val="18"/>
                <w:szCs w:val="18"/>
                <w:lang w:eastAsia="tr-TR"/>
              </w:rPr>
            </w:pPr>
            <w:r w:rsidRPr="004732E8">
              <w:rPr>
                <w:rFonts w:ascii="Times New Roman" w:eastAsia="Times New Roman" w:hAnsi="Times New Roman" w:cs="Times New Roman"/>
                <w:b w:val="0"/>
                <w:sz w:val="18"/>
                <w:szCs w:val="18"/>
                <w:lang w:eastAsia="tr-TR"/>
              </w:rPr>
              <w:t>İşkolu</w:t>
            </w:r>
          </w:p>
        </w:tc>
        <w:tc>
          <w:tcPr>
            <w:tcW w:w="3349" w:type="dxa"/>
            <w:gridSpan w:val="3"/>
            <w:noWrap/>
            <w:vAlign w:val="center"/>
            <w:hideMark/>
          </w:tcPr>
          <w:p w:rsidR="00467191" w:rsidRPr="004732E8" w:rsidRDefault="00467191" w:rsidP="00AB5013">
            <w:pPr>
              <w:spacing w:before="0" w:after="0" w:afterAutospacing="0"/>
              <w:jc w:val="right"/>
              <w:cnfStyle w:val="100000000000"/>
              <w:rPr>
                <w:rFonts w:ascii="Times New Roman" w:eastAsia="Times New Roman" w:hAnsi="Times New Roman" w:cs="Times New Roman"/>
                <w:b w:val="0"/>
                <w:sz w:val="18"/>
                <w:szCs w:val="18"/>
                <w:lang w:eastAsia="tr-TR"/>
              </w:rPr>
            </w:pPr>
            <w:r w:rsidRPr="004732E8">
              <w:rPr>
                <w:rFonts w:ascii="Times New Roman" w:eastAsia="Times New Roman" w:hAnsi="Times New Roman" w:cs="Times New Roman"/>
                <w:b w:val="0"/>
                <w:sz w:val="18"/>
                <w:szCs w:val="18"/>
                <w:lang w:eastAsia="tr-TR"/>
              </w:rPr>
              <w:t>Üye Sayısı</w:t>
            </w:r>
          </w:p>
        </w:tc>
      </w:tr>
      <w:tr w:rsidR="00467191" w:rsidRPr="004732E8" w:rsidTr="00AB5013">
        <w:trPr>
          <w:cnfStyle w:val="000000100000"/>
          <w:trHeight w:val="300"/>
        </w:trPr>
        <w:tc>
          <w:tcPr>
            <w:cnfStyle w:val="001000000000"/>
            <w:tcW w:w="2941" w:type="dxa"/>
            <w:vMerge/>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FFFFFF" w:themeColor="background1"/>
                <w:sz w:val="18"/>
                <w:szCs w:val="18"/>
                <w:lang w:eastAsia="tr-TR"/>
              </w:rPr>
            </w:pP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bCs/>
                <w:color w:val="002060"/>
                <w:sz w:val="18"/>
                <w:szCs w:val="18"/>
                <w:lang w:eastAsia="tr-TR"/>
              </w:rPr>
            </w:pPr>
            <w:r w:rsidRPr="004732E8">
              <w:rPr>
                <w:rFonts w:ascii="Times New Roman" w:eastAsia="Times New Roman" w:hAnsi="Times New Roman" w:cs="Times New Roman"/>
                <w:bCs/>
                <w:color w:val="002060"/>
                <w:sz w:val="18"/>
                <w:szCs w:val="18"/>
                <w:lang w:eastAsia="tr-TR"/>
              </w:rPr>
              <w:t>Kamu</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bCs/>
                <w:color w:val="002060"/>
                <w:sz w:val="18"/>
                <w:szCs w:val="18"/>
                <w:lang w:eastAsia="tr-TR"/>
              </w:rPr>
            </w:pPr>
            <w:r w:rsidRPr="004732E8">
              <w:rPr>
                <w:rFonts w:ascii="Times New Roman" w:eastAsia="Times New Roman" w:hAnsi="Times New Roman" w:cs="Times New Roman"/>
                <w:bCs/>
                <w:color w:val="002060"/>
                <w:sz w:val="18"/>
                <w:szCs w:val="18"/>
                <w:lang w:eastAsia="tr-TR"/>
              </w:rPr>
              <w:t>Özel</w:t>
            </w:r>
          </w:p>
        </w:tc>
        <w:tc>
          <w:tcPr>
            <w:tcW w:w="1117"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bCs/>
                <w:color w:val="002060"/>
                <w:sz w:val="18"/>
                <w:szCs w:val="18"/>
                <w:lang w:eastAsia="tr-TR"/>
              </w:rPr>
            </w:pPr>
            <w:r w:rsidRPr="004732E8">
              <w:rPr>
                <w:rFonts w:ascii="Times New Roman" w:eastAsia="Times New Roman" w:hAnsi="Times New Roman" w:cs="Times New Roman"/>
                <w:bCs/>
                <w:color w:val="002060"/>
                <w:sz w:val="18"/>
                <w:szCs w:val="18"/>
                <w:lang w:eastAsia="tr-TR"/>
              </w:rPr>
              <w:t>Toplam</w:t>
            </w:r>
          </w:p>
        </w:tc>
      </w:tr>
      <w:tr w:rsidR="00467191" w:rsidRPr="004732E8" w:rsidTr="00AB5013">
        <w:trPr>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1. Avcılık, balıkçılık, tarım ve ormancılık</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33.837</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393</w:t>
            </w:r>
          </w:p>
        </w:tc>
        <w:tc>
          <w:tcPr>
            <w:tcW w:w="1117"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34.230</w:t>
            </w:r>
          </w:p>
        </w:tc>
      </w:tr>
      <w:tr w:rsidR="00467191" w:rsidRPr="004732E8" w:rsidTr="00AB5013">
        <w:trPr>
          <w:cnfStyle w:val="000000100000"/>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2.  Gıda sanayi</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29.033</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38.809</w:t>
            </w:r>
          </w:p>
        </w:tc>
        <w:tc>
          <w:tcPr>
            <w:tcW w:w="1117"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67.842</w:t>
            </w:r>
          </w:p>
        </w:tc>
      </w:tr>
      <w:tr w:rsidR="00467191" w:rsidRPr="004732E8" w:rsidTr="00AB5013">
        <w:trPr>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3.  Madencilik ve taş ocakları</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15.838</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22.710</w:t>
            </w:r>
          </w:p>
        </w:tc>
        <w:tc>
          <w:tcPr>
            <w:tcW w:w="1117"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38.548</w:t>
            </w:r>
          </w:p>
        </w:tc>
      </w:tr>
      <w:tr w:rsidR="00467191" w:rsidRPr="004732E8" w:rsidTr="00AB5013">
        <w:trPr>
          <w:cnfStyle w:val="000000100000"/>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4.  Petrol, kimya, lastik, plastik ve ilaç</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5.742</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26.553</w:t>
            </w:r>
          </w:p>
        </w:tc>
        <w:tc>
          <w:tcPr>
            <w:tcW w:w="1117"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32.295</w:t>
            </w:r>
          </w:p>
        </w:tc>
      </w:tr>
      <w:tr w:rsidR="00467191" w:rsidRPr="004732E8" w:rsidTr="00AB5013">
        <w:trPr>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lastRenderedPageBreak/>
              <w:t>5.  Dokuma, hazır giyim ve deri</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 </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44.691</w:t>
            </w:r>
          </w:p>
        </w:tc>
        <w:tc>
          <w:tcPr>
            <w:tcW w:w="1117"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44.691</w:t>
            </w:r>
          </w:p>
        </w:tc>
      </w:tr>
      <w:tr w:rsidR="00467191" w:rsidRPr="004732E8" w:rsidTr="00AB5013">
        <w:trPr>
          <w:cnfStyle w:val="000000100000"/>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6.  Ağaç ve kâğıt</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43</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15.721</w:t>
            </w:r>
          </w:p>
        </w:tc>
        <w:tc>
          <w:tcPr>
            <w:tcW w:w="1117"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15.764</w:t>
            </w:r>
          </w:p>
        </w:tc>
      </w:tr>
      <w:tr w:rsidR="00467191" w:rsidRPr="004732E8" w:rsidTr="00AB5013">
        <w:trPr>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7.  İletişim</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 </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26.608</w:t>
            </w:r>
          </w:p>
        </w:tc>
        <w:tc>
          <w:tcPr>
            <w:tcW w:w="1117"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26.608</w:t>
            </w:r>
          </w:p>
        </w:tc>
      </w:tr>
      <w:tr w:rsidR="00467191" w:rsidRPr="004732E8" w:rsidTr="00AB5013">
        <w:trPr>
          <w:cnfStyle w:val="000000100000"/>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8.  Basın, yayın ve gazetecilik</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620</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1.881</w:t>
            </w:r>
          </w:p>
        </w:tc>
        <w:tc>
          <w:tcPr>
            <w:tcW w:w="1117"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2.501</w:t>
            </w:r>
          </w:p>
        </w:tc>
      </w:tr>
      <w:tr w:rsidR="00467191" w:rsidRPr="004732E8" w:rsidTr="00AB5013">
        <w:trPr>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9.  Banka, finans ve sigorta</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 </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92.942</w:t>
            </w:r>
          </w:p>
        </w:tc>
        <w:tc>
          <w:tcPr>
            <w:tcW w:w="1117"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92.942</w:t>
            </w:r>
          </w:p>
        </w:tc>
      </w:tr>
      <w:tr w:rsidR="00467191" w:rsidRPr="004732E8" w:rsidTr="00AB5013">
        <w:trPr>
          <w:cnfStyle w:val="000000100000"/>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10. Ticaret, büro, eğitim ve güzel sanatlar</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32.400</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54.646</w:t>
            </w:r>
          </w:p>
        </w:tc>
        <w:tc>
          <w:tcPr>
            <w:tcW w:w="1117"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87.046</w:t>
            </w:r>
          </w:p>
        </w:tc>
      </w:tr>
      <w:tr w:rsidR="00467191" w:rsidRPr="004732E8" w:rsidTr="00AB5013">
        <w:trPr>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11.  Çimento, toprak ve cam</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 </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24.280</w:t>
            </w:r>
          </w:p>
        </w:tc>
        <w:tc>
          <w:tcPr>
            <w:tcW w:w="1117"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24.280</w:t>
            </w:r>
          </w:p>
        </w:tc>
      </w:tr>
      <w:tr w:rsidR="00467191" w:rsidRPr="004732E8" w:rsidTr="00AB5013">
        <w:trPr>
          <w:cnfStyle w:val="000000100000"/>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12.  Metal</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1.061</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161.470</w:t>
            </w:r>
          </w:p>
        </w:tc>
        <w:tc>
          <w:tcPr>
            <w:tcW w:w="1117"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162.531</w:t>
            </w:r>
          </w:p>
        </w:tc>
      </w:tr>
      <w:tr w:rsidR="00467191" w:rsidRPr="004732E8" w:rsidTr="00AB5013">
        <w:trPr>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13.  İnşaat</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39.389</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3.203</w:t>
            </w:r>
          </w:p>
        </w:tc>
        <w:tc>
          <w:tcPr>
            <w:tcW w:w="1117"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42.592</w:t>
            </w:r>
          </w:p>
        </w:tc>
      </w:tr>
      <w:tr w:rsidR="00467191" w:rsidRPr="004732E8" w:rsidTr="00AB5013">
        <w:trPr>
          <w:cnfStyle w:val="000000100000"/>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14.  Enerji</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46.286</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25.946</w:t>
            </w:r>
          </w:p>
        </w:tc>
        <w:tc>
          <w:tcPr>
            <w:tcW w:w="1117"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72.232</w:t>
            </w:r>
          </w:p>
        </w:tc>
      </w:tr>
      <w:tr w:rsidR="00467191" w:rsidRPr="004732E8" w:rsidTr="00AB5013">
        <w:trPr>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15.  Taşımacılık</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19.611</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22.294</w:t>
            </w:r>
          </w:p>
        </w:tc>
        <w:tc>
          <w:tcPr>
            <w:tcW w:w="1117"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41.905</w:t>
            </w:r>
          </w:p>
        </w:tc>
      </w:tr>
      <w:tr w:rsidR="00467191" w:rsidRPr="004732E8" w:rsidTr="00AB5013">
        <w:trPr>
          <w:cnfStyle w:val="000000100000"/>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16.  Gemi yapımı ve deniz taşımacılığı, ardiye ve antrepoculuk</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1.962</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6.385</w:t>
            </w:r>
          </w:p>
        </w:tc>
        <w:tc>
          <w:tcPr>
            <w:tcW w:w="1117"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8.347</w:t>
            </w:r>
          </w:p>
        </w:tc>
      </w:tr>
      <w:tr w:rsidR="00467191" w:rsidRPr="004732E8" w:rsidTr="00AB5013">
        <w:trPr>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17.  Sağlık ve sosyal hizmetler</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2.619</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6.841</w:t>
            </w:r>
          </w:p>
        </w:tc>
        <w:tc>
          <w:tcPr>
            <w:tcW w:w="1117"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9.460</w:t>
            </w:r>
          </w:p>
        </w:tc>
      </w:tr>
      <w:tr w:rsidR="00467191" w:rsidRPr="004732E8" w:rsidTr="00AB5013">
        <w:trPr>
          <w:cnfStyle w:val="000000100000"/>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18.  Konaklama ve eğlence işleri</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1.588</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13.072</w:t>
            </w:r>
          </w:p>
        </w:tc>
        <w:tc>
          <w:tcPr>
            <w:tcW w:w="1117"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14.660</w:t>
            </w:r>
          </w:p>
        </w:tc>
      </w:tr>
      <w:tr w:rsidR="00467191" w:rsidRPr="004732E8" w:rsidTr="00AB5013">
        <w:trPr>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19.  Savunma ve güvenlik</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20.575</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11.389</w:t>
            </w:r>
          </w:p>
        </w:tc>
        <w:tc>
          <w:tcPr>
            <w:tcW w:w="1117"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31.964</w:t>
            </w:r>
          </w:p>
        </w:tc>
      </w:tr>
      <w:tr w:rsidR="00467191" w:rsidRPr="004732E8" w:rsidTr="00AB5013">
        <w:trPr>
          <w:cnfStyle w:val="000000100000"/>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20.  Genel işler</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110.055</w:t>
            </w:r>
          </w:p>
        </w:tc>
        <w:tc>
          <w:tcPr>
            <w:tcW w:w="1116"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color w:val="000000"/>
                <w:sz w:val="18"/>
                <w:szCs w:val="18"/>
                <w:lang w:eastAsia="tr-TR"/>
              </w:rPr>
            </w:pPr>
            <w:r w:rsidRPr="004732E8">
              <w:rPr>
                <w:rFonts w:ascii="Times New Roman" w:eastAsia="Times New Roman" w:hAnsi="Times New Roman" w:cs="Times New Roman"/>
                <w:color w:val="000000"/>
                <w:sz w:val="18"/>
                <w:szCs w:val="18"/>
                <w:lang w:eastAsia="tr-TR"/>
              </w:rPr>
              <w:t>43.650</w:t>
            </w:r>
          </w:p>
        </w:tc>
        <w:tc>
          <w:tcPr>
            <w:tcW w:w="1117" w:type="dxa"/>
            <w:noWrap/>
            <w:vAlign w:val="center"/>
            <w:hideMark/>
          </w:tcPr>
          <w:p w:rsidR="00467191" w:rsidRPr="004732E8" w:rsidRDefault="00467191" w:rsidP="00AB5013">
            <w:pPr>
              <w:spacing w:before="0" w:after="0" w:afterAutospacing="0"/>
              <w:jc w:val="right"/>
              <w:cnfStyle w:val="0000001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153.705</w:t>
            </w:r>
          </w:p>
        </w:tc>
      </w:tr>
      <w:tr w:rsidR="00467191" w:rsidRPr="004732E8" w:rsidTr="00AB5013">
        <w:trPr>
          <w:trHeight w:val="300"/>
        </w:trPr>
        <w:tc>
          <w:tcPr>
            <w:cnfStyle w:val="001000000000"/>
            <w:tcW w:w="2941" w:type="dxa"/>
            <w:vAlign w:val="center"/>
            <w:hideMark/>
          </w:tcPr>
          <w:p w:rsidR="00467191" w:rsidRPr="004732E8" w:rsidRDefault="00467191" w:rsidP="00AB5013">
            <w:pPr>
              <w:spacing w:before="0" w:after="0" w:afterAutospacing="0"/>
              <w:jc w:val="left"/>
              <w:rPr>
                <w:rFonts w:ascii="Times New Roman" w:eastAsia="Times New Roman" w:hAnsi="Times New Roman" w:cs="Times New Roman"/>
                <w:b w:val="0"/>
                <w:color w:val="000000"/>
                <w:sz w:val="18"/>
                <w:szCs w:val="18"/>
                <w:lang w:eastAsia="tr-TR"/>
              </w:rPr>
            </w:pPr>
            <w:r w:rsidRPr="004732E8">
              <w:rPr>
                <w:rFonts w:ascii="Times New Roman" w:eastAsia="Times New Roman" w:hAnsi="Times New Roman" w:cs="Times New Roman"/>
                <w:b w:val="0"/>
                <w:color w:val="000000"/>
                <w:sz w:val="18"/>
                <w:szCs w:val="18"/>
                <w:lang w:eastAsia="tr-TR"/>
              </w:rPr>
              <w:t>Genel Toplam</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360.659</w:t>
            </w:r>
          </w:p>
        </w:tc>
        <w:tc>
          <w:tcPr>
            <w:tcW w:w="1116"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643.484</w:t>
            </w:r>
          </w:p>
        </w:tc>
        <w:tc>
          <w:tcPr>
            <w:tcW w:w="1117" w:type="dxa"/>
            <w:noWrap/>
            <w:vAlign w:val="center"/>
            <w:hideMark/>
          </w:tcPr>
          <w:p w:rsidR="00467191" w:rsidRPr="004732E8" w:rsidRDefault="00467191" w:rsidP="00AB5013">
            <w:pPr>
              <w:spacing w:before="0" w:after="0" w:afterAutospacing="0"/>
              <w:jc w:val="right"/>
              <w:cnfStyle w:val="000000000000"/>
              <w:rPr>
                <w:rFonts w:ascii="Times New Roman" w:eastAsia="Times New Roman" w:hAnsi="Times New Roman" w:cs="Times New Roman"/>
                <w:bCs/>
                <w:color w:val="000000"/>
                <w:sz w:val="18"/>
                <w:szCs w:val="18"/>
                <w:lang w:eastAsia="tr-TR"/>
              </w:rPr>
            </w:pPr>
            <w:r w:rsidRPr="004732E8">
              <w:rPr>
                <w:rFonts w:ascii="Times New Roman" w:eastAsia="Times New Roman" w:hAnsi="Times New Roman" w:cs="Times New Roman"/>
                <w:bCs/>
                <w:color w:val="000000"/>
                <w:sz w:val="18"/>
                <w:szCs w:val="18"/>
                <w:lang w:eastAsia="tr-TR"/>
              </w:rPr>
              <w:t>1.004.143</w:t>
            </w:r>
          </w:p>
        </w:tc>
      </w:tr>
    </w:tbl>
    <w:p w:rsidR="0066319D" w:rsidRDefault="0066319D" w:rsidP="0066319D">
      <w:r>
        <w:rPr>
          <w:rFonts w:eastAsia="Avenir Medium" w:cs="Avenir Medium"/>
          <w:szCs w:val="22"/>
        </w:rPr>
        <w:t>Aralık 2015 tarihi itibariyle toplu iş sözleşmesi kapsamı yüzde 7’dir. Toplu iş sözleşmesi kapsamındaki 1 milyon 4 bin işçinin 361 bini kamu sektöründe 643 bini özel sektörde çalışmaktadır. Özel sektörde toplu iş sözleşmesi kapsam</w:t>
      </w:r>
      <w:r>
        <w:rPr>
          <w:rFonts w:eastAsia="Avenir Medium" w:cs="Avenir Medium"/>
        </w:rPr>
        <w:t>ı</w:t>
      </w:r>
      <w:r>
        <w:rPr>
          <w:rFonts w:eastAsia="Avenir Medium" w:cs="Avenir Medium"/>
          <w:szCs w:val="22"/>
        </w:rPr>
        <w:t xml:space="preserve"> oranı yüzde 4,6’dır. Bir diğer ifadeyle yaklaşık 13,5 milyon işçi toplu iş sözleşmesi kapsamı dışındadır (Tablo 7). </w:t>
      </w:r>
    </w:p>
    <w:p w:rsidR="00EE5A48" w:rsidRDefault="00EE5A48" w:rsidP="00EE5A48">
      <w:pPr>
        <w:pStyle w:val="Balk3"/>
      </w:pPr>
      <w:r>
        <w:t>Tablo</w:t>
      </w:r>
      <w:r w:rsidR="00DA2272">
        <w:t xml:space="preserve"> 7</w:t>
      </w:r>
      <w:r>
        <w:t>: Toplu İş Sözleşmesi Kapsamı (Aralık 2015)</w:t>
      </w:r>
    </w:p>
    <w:tbl>
      <w:tblPr>
        <w:tblStyle w:val="GridTable4Accent1"/>
        <w:tblW w:w="6920" w:type="dxa"/>
        <w:tblLook w:val="04A0"/>
      </w:tblPr>
      <w:tblGrid>
        <w:gridCol w:w="5360"/>
        <w:gridCol w:w="1560"/>
      </w:tblGrid>
      <w:tr w:rsidR="00EE5A48" w:rsidRPr="00EE5A48" w:rsidTr="00EE5A48">
        <w:trPr>
          <w:cnfStyle w:val="100000000000"/>
          <w:trHeight w:val="320"/>
        </w:trPr>
        <w:tc>
          <w:tcPr>
            <w:cnfStyle w:val="001000000000"/>
            <w:tcW w:w="5360" w:type="dxa"/>
            <w:noWrap/>
            <w:hideMark/>
          </w:tcPr>
          <w:p w:rsidR="00EE5A48" w:rsidRPr="00EE5A48" w:rsidRDefault="00EE5A48" w:rsidP="00EE5A48">
            <w:pPr>
              <w:spacing w:before="0" w:after="0" w:afterAutospacing="0"/>
              <w:jc w:val="left"/>
              <w:rPr>
                <w:rFonts w:ascii="Calibri" w:eastAsia="Times New Roman" w:hAnsi="Calibri" w:cs="Times New Roman"/>
                <w:color w:val="000000"/>
                <w:sz w:val="24"/>
                <w:lang w:eastAsia="tr-TR"/>
              </w:rPr>
            </w:pPr>
          </w:p>
        </w:tc>
        <w:tc>
          <w:tcPr>
            <w:tcW w:w="1560" w:type="dxa"/>
            <w:noWrap/>
            <w:hideMark/>
          </w:tcPr>
          <w:p w:rsidR="00EE5A48" w:rsidRPr="00EE5A48" w:rsidRDefault="00EE5A48" w:rsidP="00EE5A48">
            <w:pPr>
              <w:spacing w:before="0" w:after="0" w:afterAutospacing="0"/>
              <w:jc w:val="right"/>
              <w:cnfStyle w:val="100000000000"/>
              <w:rPr>
                <w:rFonts w:ascii="Calibri" w:eastAsia="Times New Roman" w:hAnsi="Calibri" w:cs="Times New Roman"/>
                <w:color w:val="000000"/>
                <w:sz w:val="24"/>
                <w:lang w:eastAsia="tr-TR"/>
              </w:rPr>
            </w:pPr>
          </w:p>
        </w:tc>
      </w:tr>
      <w:tr w:rsidR="00EE5A48" w:rsidRPr="00EE5A48" w:rsidTr="00EE5A48">
        <w:trPr>
          <w:cnfStyle w:val="000000100000"/>
          <w:trHeight w:val="353"/>
        </w:trPr>
        <w:tc>
          <w:tcPr>
            <w:cnfStyle w:val="001000000000"/>
            <w:tcW w:w="5360" w:type="dxa"/>
            <w:noWrap/>
          </w:tcPr>
          <w:p w:rsidR="00EE5A48" w:rsidRPr="007A6ECA" w:rsidRDefault="00EE5A48" w:rsidP="00EE5A48">
            <w:pPr>
              <w:spacing w:before="0" w:after="0" w:afterAutospacing="0"/>
              <w:jc w:val="left"/>
              <w:rPr>
                <w:rFonts w:ascii="Calibri" w:eastAsia="Times New Roman" w:hAnsi="Calibri" w:cs="Times New Roman"/>
                <w:b w:val="0"/>
                <w:color w:val="000000"/>
                <w:sz w:val="20"/>
                <w:szCs w:val="20"/>
                <w:lang w:eastAsia="tr-TR"/>
              </w:rPr>
            </w:pPr>
            <w:r w:rsidRPr="007A6ECA">
              <w:rPr>
                <w:rFonts w:ascii="Calibri" w:eastAsia="Times New Roman" w:hAnsi="Calibri" w:cs="Times New Roman"/>
                <w:b w:val="0"/>
                <w:color w:val="000000"/>
                <w:sz w:val="20"/>
                <w:szCs w:val="20"/>
                <w:lang w:eastAsia="tr-TR"/>
              </w:rPr>
              <w:t>Toplam işçi sayısı</w:t>
            </w:r>
          </w:p>
        </w:tc>
        <w:tc>
          <w:tcPr>
            <w:tcW w:w="1560" w:type="dxa"/>
            <w:noWrap/>
          </w:tcPr>
          <w:p w:rsidR="00EE5A48" w:rsidRPr="007A6ECA" w:rsidRDefault="00EE5A48" w:rsidP="00EE5A48">
            <w:pPr>
              <w:spacing w:before="0" w:after="0" w:afterAutospacing="0"/>
              <w:jc w:val="right"/>
              <w:cnfStyle w:val="000000100000"/>
              <w:rPr>
                <w:rFonts w:ascii="Calibri" w:eastAsia="Times New Roman" w:hAnsi="Calibri" w:cs="Times New Roman"/>
                <w:color w:val="000000"/>
                <w:sz w:val="20"/>
                <w:szCs w:val="20"/>
                <w:lang w:eastAsia="tr-TR"/>
              </w:rPr>
            </w:pPr>
            <w:r w:rsidRPr="00EE5A48">
              <w:rPr>
                <w:rFonts w:ascii="Calibri" w:eastAsia="Times New Roman" w:hAnsi="Calibri" w:cs="Times New Roman"/>
                <w:color w:val="000000"/>
                <w:sz w:val="20"/>
                <w:szCs w:val="20"/>
                <w:lang w:eastAsia="tr-TR"/>
              </w:rPr>
              <w:t xml:space="preserve"> 14.427.000 </w:t>
            </w:r>
          </w:p>
        </w:tc>
      </w:tr>
      <w:tr w:rsidR="00EE5A48" w:rsidRPr="00EE5A48" w:rsidTr="00EE5A48">
        <w:trPr>
          <w:trHeight w:val="320"/>
        </w:trPr>
        <w:tc>
          <w:tcPr>
            <w:cnfStyle w:val="001000000000"/>
            <w:tcW w:w="5360" w:type="dxa"/>
            <w:noWrap/>
            <w:hideMark/>
          </w:tcPr>
          <w:p w:rsidR="00EE5A48" w:rsidRPr="00EE5A48" w:rsidRDefault="00EE5A48" w:rsidP="00EE5A48">
            <w:pPr>
              <w:spacing w:before="0" w:after="0" w:afterAutospacing="0"/>
              <w:jc w:val="left"/>
              <w:rPr>
                <w:rFonts w:ascii="Calibri" w:eastAsia="Times New Roman" w:hAnsi="Calibri" w:cs="Times New Roman"/>
                <w:b w:val="0"/>
                <w:color w:val="000000"/>
                <w:sz w:val="20"/>
                <w:szCs w:val="20"/>
                <w:lang w:eastAsia="tr-TR"/>
              </w:rPr>
            </w:pPr>
            <w:r w:rsidRPr="007A6ECA">
              <w:rPr>
                <w:rFonts w:ascii="Calibri" w:eastAsia="Times New Roman" w:hAnsi="Calibri" w:cs="Times New Roman"/>
                <w:b w:val="0"/>
                <w:color w:val="000000"/>
                <w:sz w:val="20"/>
                <w:szCs w:val="20"/>
                <w:lang w:eastAsia="tr-TR"/>
              </w:rPr>
              <w:t>Özel sektör işçi sayısı</w:t>
            </w:r>
          </w:p>
        </w:tc>
        <w:tc>
          <w:tcPr>
            <w:tcW w:w="1560" w:type="dxa"/>
            <w:noWrap/>
            <w:hideMark/>
          </w:tcPr>
          <w:p w:rsidR="00EE5A48" w:rsidRPr="00EE5A48" w:rsidRDefault="00EE5A48" w:rsidP="00EE5A48">
            <w:pPr>
              <w:spacing w:before="0" w:after="0" w:afterAutospacing="0"/>
              <w:jc w:val="right"/>
              <w:cnfStyle w:val="000000000000"/>
              <w:rPr>
                <w:rFonts w:ascii="Calibri" w:eastAsia="Times New Roman" w:hAnsi="Calibri" w:cs="Times New Roman"/>
                <w:color w:val="000000"/>
                <w:sz w:val="20"/>
                <w:szCs w:val="20"/>
                <w:lang w:eastAsia="tr-TR"/>
              </w:rPr>
            </w:pPr>
            <w:r w:rsidRPr="00EE5A48">
              <w:rPr>
                <w:rFonts w:ascii="Calibri" w:eastAsia="Times New Roman" w:hAnsi="Calibri" w:cs="Times New Roman"/>
                <w:color w:val="000000"/>
                <w:sz w:val="20"/>
                <w:szCs w:val="20"/>
                <w:lang w:eastAsia="tr-TR"/>
              </w:rPr>
              <w:t xml:space="preserve"> 14.071.000 </w:t>
            </w:r>
          </w:p>
        </w:tc>
      </w:tr>
      <w:tr w:rsidR="00EE5A48" w:rsidRPr="00EE5A48" w:rsidTr="00EE5A48">
        <w:trPr>
          <w:cnfStyle w:val="000000100000"/>
          <w:trHeight w:val="320"/>
        </w:trPr>
        <w:tc>
          <w:tcPr>
            <w:cnfStyle w:val="001000000000"/>
            <w:tcW w:w="5360" w:type="dxa"/>
            <w:noWrap/>
            <w:hideMark/>
          </w:tcPr>
          <w:p w:rsidR="00EE5A48" w:rsidRPr="00EE5A48" w:rsidRDefault="00EE5A48" w:rsidP="00EE5A48">
            <w:pPr>
              <w:spacing w:before="0" w:after="0" w:afterAutospacing="0"/>
              <w:jc w:val="left"/>
              <w:rPr>
                <w:rFonts w:ascii="Calibri" w:eastAsia="Times New Roman" w:hAnsi="Calibri" w:cs="Times New Roman"/>
                <w:b w:val="0"/>
                <w:color w:val="000000"/>
                <w:sz w:val="20"/>
                <w:szCs w:val="20"/>
                <w:lang w:eastAsia="tr-TR"/>
              </w:rPr>
            </w:pPr>
            <w:r w:rsidRPr="00EE5A48">
              <w:rPr>
                <w:rFonts w:ascii="Calibri" w:eastAsia="Times New Roman" w:hAnsi="Calibri" w:cs="Times New Roman"/>
                <w:b w:val="0"/>
                <w:color w:val="000000"/>
                <w:sz w:val="20"/>
                <w:szCs w:val="20"/>
                <w:lang w:eastAsia="tr-TR"/>
              </w:rPr>
              <w:t xml:space="preserve">Toplu iş </w:t>
            </w:r>
            <w:r w:rsidRPr="007A6ECA">
              <w:rPr>
                <w:rFonts w:ascii="Calibri" w:eastAsia="Times New Roman" w:hAnsi="Calibri" w:cs="Times New Roman"/>
                <w:b w:val="0"/>
                <w:color w:val="000000"/>
                <w:sz w:val="20"/>
                <w:szCs w:val="20"/>
                <w:lang w:eastAsia="tr-TR"/>
              </w:rPr>
              <w:t>sözleşmesi</w:t>
            </w:r>
            <w:r w:rsidRPr="00EE5A48">
              <w:rPr>
                <w:rFonts w:ascii="Calibri" w:eastAsia="Times New Roman" w:hAnsi="Calibri" w:cs="Times New Roman"/>
                <w:b w:val="0"/>
                <w:color w:val="000000"/>
                <w:sz w:val="20"/>
                <w:szCs w:val="20"/>
                <w:lang w:eastAsia="tr-TR"/>
              </w:rPr>
              <w:t xml:space="preserve"> kapsamı </w:t>
            </w:r>
            <w:r w:rsidRPr="007A6ECA">
              <w:rPr>
                <w:rFonts w:ascii="Calibri" w:eastAsia="Times New Roman" w:hAnsi="Calibri" w:cs="Times New Roman"/>
                <w:b w:val="0"/>
                <w:color w:val="000000"/>
                <w:sz w:val="20"/>
                <w:szCs w:val="20"/>
                <w:lang w:eastAsia="tr-TR"/>
              </w:rPr>
              <w:t>(</w:t>
            </w:r>
            <w:r w:rsidRPr="00EE5A48">
              <w:rPr>
                <w:rFonts w:ascii="Calibri" w:eastAsia="Times New Roman" w:hAnsi="Calibri" w:cs="Times New Roman"/>
                <w:b w:val="0"/>
                <w:color w:val="000000"/>
                <w:sz w:val="20"/>
                <w:szCs w:val="20"/>
                <w:lang w:eastAsia="tr-TR"/>
              </w:rPr>
              <w:t>genel</w:t>
            </w:r>
            <w:r w:rsidRPr="007A6ECA">
              <w:rPr>
                <w:rFonts w:ascii="Calibri" w:eastAsia="Times New Roman" w:hAnsi="Calibri" w:cs="Times New Roman"/>
                <w:b w:val="0"/>
                <w:color w:val="000000"/>
                <w:sz w:val="20"/>
                <w:szCs w:val="20"/>
                <w:lang w:eastAsia="tr-TR"/>
              </w:rPr>
              <w:t>)</w:t>
            </w:r>
          </w:p>
        </w:tc>
        <w:tc>
          <w:tcPr>
            <w:tcW w:w="1560" w:type="dxa"/>
            <w:noWrap/>
            <w:hideMark/>
          </w:tcPr>
          <w:p w:rsidR="00EE5A48" w:rsidRPr="00EE5A48" w:rsidRDefault="00EE5A48" w:rsidP="00EE5A48">
            <w:pPr>
              <w:spacing w:before="0" w:after="0" w:afterAutospacing="0"/>
              <w:jc w:val="right"/>
              <w:cnfStyle w:val="000000100000"/>
              <w:rPr>
                <w:rFonts w:ascii="Calibri" w:eastAsia="Times New Roman" w:hAnsi="Calibri" w:cs="Times New Roman"/>
                <w:color w:val="000000"/>
                <w:sz w:val="20"/>
                <w:szCs w:val="20"/>
                <w:lang w:eastAsia="tr-TR"/>
              </w:rPr>
            </w:pPr>
            <w:r w:rsidRPr="00EE5A48">
              <w:rPr>
                <w:rFonts w:ascii="Calibri" w:eastAsia="Times New Roman" w:hAnsi="Calibri" w:cs="Times New Roman"/>
                <w:color w:val="000000"/>
                <w:sz w:val="20"/>
                <w:szCs w:val="20"/>
                <w:lang w:eastAsia="tr-TR"/>
              </w:rPr>
              <w:t xml:space="preserve"> 1.004.000 </w:t>
            </w:r>
          </w:p>
        </w:tc>
      </w:tr>
      <w:tr w:rsidR="00EE5A48" w:rsidRPr="00EE5A48" w:rsidTr="00EE5A48">
        <w:trPr>
          <w:trHeight w:val="320"/>
        </w:trPr>
        <w:tc>
          <w:tcPr>
            <w:cnfStyle w:val="001000000000"/>
            <w:tcW w:w="5360" w:type="dxa"/>
            <w:noWrap/>
            <w:hideMark/>
          </w:tcPr>
          <w:p w:rsidR="00EE5A48" w:rsidRPr="00EE5A48" w:rsidRDefault="00EE5A48" w:rsidP="00EE5A48">
            <w:pPr>
              <w:spacing w:before="0" w:after="0" w:afterAutospacing="0"/>
              <w:jc w:val="left"/>
              <w:rPr>
                <w:rFonts w:ascii="Calibri" w:eastAsia="Times New Roman" w:hAnsi="Calibri" w:cs="Times New Roman"/>
                <w:b w:val="0"/>
                <w:color w:val="000000"/>
                <w:sz w:val="20"/>
                <w:szCs w:val="20"/>
                <w:lang w:eastAsia="tr-TR"/>
              </w:rPr>
            </w:pPr>
            <w:r w:rsidRPr="00EE5A48">
              <w:rPr>
                <w:rFonts w:ascii="Calibri" w:eastAsia="Times New Roman" w:hAnsi="Calibri" w:cs="Times New Roman"/>
                <w:b w:val="0"/>
                <w:color w:val="000000"/>
                <w:sz w:val="20"/>
                <w:szCs w:val="20"/>
                <w:lang w:eastAsia="tr-TR"/>
              </w:rPr>
              <w:t>Toplu iş</w:t>
            </w:r>
            <w:r w:rsidRPr="007A6ECA">
              <w:rPr>
                <w:rFonts w:ascii="Calibri" w:eastAsia="Times New Roman" w:hAnsi="Calibri" w:cs="Times New Roman"/>
                <w:b w:val="0"/>
                <w:color w:val="000000"/>
                <w:sz w:val="20"/>
                <w:szCs w:val="20"/>
                <w:lang w:eastAsia="tr-TR"/>
              </w:rPr>
              <w:t xml:space="preserve"> sözleşmesi kapsamı (özel sektör)</w:t>
            </w:r>
          </w:p>
        </w:tc>
        <w:tc>
          <w:tcPr>
            <w:tcW w:w="1560" w:type="dxa"/>
            <w:noWrap/>
            <w:hideMark/>
          </w:tcPr>
          <w:p w:rsidR="00EE5A48" w:rsidRPr="00EE5A48" w:rsidRDefault="00EE5A48" w:rsidP="00EE5A48">
            <w:pPr>
              <w:spacing w:before="0" w:after="0" w:afterAutospacing="0"/>
              <w:jc w:val="right"/>
              <w:cnfStyle w:val="000000000000"/>
              <w:rPr>
                <w:rFonts w:ascii="Calibri" w:eastAsia="Times New Roman" w:hAnsi="Calibri" w:cs="Times New Roman"/>
                <w:color w:val="000000"/>
                <w:sz w:val="20"/>
                <w:szCs w:val="20"/>
                <w:lang w:eastAsia="tr-TR"/>
              </w:rPr>
            </w:pPr>
            <w:r w:rsidRPr="00EE5A48">
              <w:rPr>
                <w:rFonts w:ascii="Calibri" w:eastAsia="Times New Roman" w:hAnsi="Calibri" w:cs="Times New Roman"/>
                <w:color w:val="000000"/>
                <w:sz w:val="20"/>
                <w:szCs w:val="20"/>
                <w:lang w:eastAsia="tr-TR"/>
              </w:rPr>
              <w:t xml:space="preserve"> 643.484 </w:t>
            </w:r>
          </w:p>
        </w:tc>
      </w:tr>
      <w:tr w:rsidR="00EE5A48" w:rsidRPr="00EE5A48" w:rsidTr="00EE5A48">
        <w:trPr>
          <w:cnfStyle w:val="000000100000"/>
          <w:trHeight w:val="320"/>
        </w:trPr>
        <w:tc>
          <w:tcPr>
            <w:cnfStyle w:val="001000000000"/>
            <w:tcW w:w="5360" w:type="dxa"/>
            <w:noWrap/>
            <w:hideMark/>
          </w:tcPr>
          <w:p w:rsidR="00EE5A48" w:rsidRPr="00EE5A48" w:rsidRDefault="00EE5A48" w:rsidP="00EE5A48">
            <w:pPr>
              <w:spacing w:before="0" w:after="0" w:afterAutospacing="0"/>
              <w:jc w:val="left"/>
              <w:rPr>
                <w:rFonts w:ascii="Calibri" w:eastAsia="Times New Roman" w:hAnsi="Calibri" w:cs="Times New Roman"/>
                <w:b w:val="0"/>
                <w:color w:val="000000"/>
                <w:sz w:val="20"/>
                <w:szCs w:val="20"/>
                <w:lang w:eastAsia="tr-TR"/>
              </w:rPr>
            </w:pPr>
            <w:r w:rsidRPr="00EE5A48">
              <w:rPr>
                <w:rFonts w:ascii="Calibri" w:eastAsia="Times New Roman" w:hAnsi="Calibri" w:cs="Times New Roman"/>
                <w:b w:val="0"/>
                <w:color w:val="000000"/>
                <w:sz w:val="20"/>
                <w:szCs w:val="20"/>
                <w:lang w:eastAsia="tr-TR"/>
              </w:rPr>
              <w:t>Toplu iş sözleşmesi kapsamı (genel)</w:t>
            </w:r>
          </w:p>
        </w:tc>
        <w:tc>
          <w:tcPr>
            <w:tcW w:w="1560" w:type="dxa"/>
            <w:noWrap/>
            <w:hideMark/>
          </w:tcPr>
          <w:p w:rsidR="00EE5A48" w:rsidRPr="00EE5A48" w:rsidRDefault="00EE5A48" w:rsidP="00EE5A48">
            <w:pPr>
              <w:spacing w:before="0" w:after="0" w:afterAutospacing="0"/>
              <w:jc w:val="right"/>
              <w:cnfStyle w:val="000000100000"/>
              <w:rPr>
                <w:rFonts w:ascii="Calibri" w:eastAsia="Times New Roman" w:hAnsi="Calibri" w:cs="Times New Roman"/>
                <w:color w:val="000000"/>
                <w:sz w:val="20"/>
                <w:szCs w:val="20"/>
                <w:lang w:eastAsia="tr-TR"/>
              </w:rPr>
            </w:pPr>
            <w:r w:rsidRPr="00EE5A48">
              <w:rPr>
                <w:rFonts w:ascii="Calibri" w:eastAsia="Times New Roman" w:hAnsi="Calibri" w:cs="Times New Roman"/>
                <w:color w:val="000000"/>
                <w:sz w:val="20"/>
                <w:szCs w:val="20"/>
                <w:lang w:eastAsia="tr-TR"/>
              </w:rPr>
              <w:t>7,0%</w:t>
            </w:r>
          </w:p>
        </w:tc>
      </w:tr>
      <w:tr w:rsidR="00EE5A48" w:rsidRPr="00EE5A48" w:rsidTr="00EE5A48">
        <w:trPr>
          <w:trHeight w:val="320"/>
        </w:trPr>
        <w:tc>
          <w:tcPr>
            <w:cnfStyle w:val="001000000000"/>
            <w:tcW w:w="5360" w:type="dxa"/>
            <w:noWrap/>
            <w:hideMark/>
          </w:tcPr>
          <w:p w:rsidR="00EE5A48" w:rsidRPr="00EE5A48" w:rsidRDefault="00EE5A48" w:rsidP="00EE5A48">
            <w:pPr>
              <w:spacing w:before="0" w:after="0" w:afterAutospacing="0"/>
              <w:jc w:val="left"/>
              <w:rPr>
                <w:rFonts w:ascii="Calibri" w:eastAsia="Times New Roman" w:hAnsi="Calibri" w:cs="Times New Roman"/>
                <w:b w:val="0"/>
                <w:color w:val="000000"/>
                <w:sz w:val="20"/>
                <w:szCs w:val="20"/>
                <w:lang w:eastAsia="tr-TR"/>
              </w:rPr>
            </w:pPr>
            <w:r w:rsidRPr="00EE5A48">
              <w:rPr>
                <w:rFonts w:ascii="Calibri" w:eastAsia="Times New Roman" w:hAnsi="Calibri" w:cs="Times New Roman"/>
                <w:b w:val="0"/>
                <w:color w:val="000000"/>
                <w:sz w:val="20"/>
                <w:szCs w:val="20"/>
                <w:lang w:eastAsia="tr-TR"/>
              </w:rPr>
              <w:t>Toplu iş sözleşmesi kapsamı (özel sektör)</w:t>
            </w:r>
          </w:p>
        </w:tc>
        <w:tc>
          <w:tcPr>
            <w:tcW w:w="1560" w:type="dxa"/>
            <w:noWrap/>
            <w:hideMark/>
          </w:tcPr>
          <w:p w:rsidR="00EE5A48" w:rsidRPr="00EE5A48" w:rsidRDefault="00EE5A48" w:rsidP="00EE5A48">
            <w:pPr>
              <w:spacing w:before="0" w:after="0" w:afterAutospacing="0"/>
              <w:jc w:val="right"/>
              <w:cnfStyle w:val="000000000000"/>
              <w:rPr>
                <w:rFonts w:ascii="Calibri" w:eastAsia="Times New Roman" w:hAnsi="Calibri" w:cs="Times New Roman"/>
                <w:color w:val="000000"/>
                <w:sz w:val="20"/>
                <w:szCs w:val="20"/>
                <w:lang w:eastAsia="tr-TR"/>
              </w:rPr>
            </w:pPr>
            <w:r w:rsidRPr="00EE5A48">
              <w:rPr>
                <w:rFonts w:ascii="Calibri" w:eastAsia="Times New Roman" w:hAnsi="Calibri" w:cs="Times New Roman"/>
                <w:color w:val="000000"/>
                <w:sz w:val="20"/>
                <w:szCs w:val="20"/>
                <w:lang w:eastAsia="tr-TR"/>
              </w:rPr>
              <w:t>4,6%</w:t>
            </w:r>
          </w:p>
        </w:tc>
      </w:tr>
    </w:tbl>
    <w:p w:rsidR="004D2036" w:rsidRDefault="004D2036" w:rsidP="004D2036">
      <w:pPr>
        <w:pStyle w:val="Balk2"/>
        <w:rPr>
          <w:color w:val="17365D" w:themeColor="text2" w:themeShade="BF"/>
        </w:rPr>
      </w:pPr>
      <w:r w:rsidRPr="00AD431D">
        <w:rPr>
          <w:color w:val="17365D" w:themeColor="text2" w:themeShade="BF"/>
        </w:rPr>
        <w:t>Değerlendirme</w:t>
      </w:r>
      <w:r w:rsidR="00E70D85" w:rsidRPr="00AD431D">
        <w:rPr>
          <w:color w:val="17365D" w:themeColor="text2" w:themeShade="BF"/>
        </w:rPr>
        <w:t xml:space="preserve"> ve öneriler</w:t>
      </w:r>
    </w:p>
    <w:p w:rsidR="00E93AE2" w:rsidRDefault="00E93AE2" w:rsidP="00E93AE2">
      <w:r>
        <w:rPr>
          <w:rFonts w:eastAsia="Avenir Medium" w:cs="Avenir Medium"/>
          <w:szCs w:val="22"/>
        </w:rPr>
        <w:t>Türkiye’de sendikalaşma oranları ve toplu iş sözleşmesi kapsamı oldukça düşüktür. Sendikalı işçilerin üçte birini oluşturan 500 bin işçi toplu iş sözleşmesi kapsamı dışındadır.</w:t>
      </w:r>
    </w:p>
    <w:p w:rsidR="00E93AE2" w:rsidRDefault="00E93AE2" w:rsidP="00E93AE2">
      <w:r>
        <w:rPr>
          <w:rFonts w:eastAsia="Avenir Medium" w:cs="Avenir Medium"/>
          <w:szCs w:val="22"/>
        </w:rPr>
        <w:t xml:space="preserve">Bu durum mevcut toplu iş sözleşmesi sisteminin çökmesi anlamına gelmektedir. Son yıllarda sendikalaşmada yaşanan sayısal artışlar </w:t>
      </w:r>
      <w:proofErr w:type="gramStart"/>
      <w:r>
        <w:rPr>
          <w:rFonts w:eastAsia="Avenir Medium" w:cs="Avenir Medium"/>
          <w:szCs w:val="22"/>
        </w:rPr>
        <w:t>kağıt</w:t>
      </w:r>
      <w:proofErr w:type="gramEnd"/>
      <w:r>
        <w:rPr>
          <w:rFonts w:eastAsia="Avenir Medium" w:cs="Avenir Medium"/>
          <w:szCs w:val="22"/>
        </w:rPr>
        <w:t xml:space="preserve"> üzerinde kalmakta, sendikalaşan işçilerin büyük bir bölümü toplu iş sözleşmesinden yararlanamamaktadır.</w:t>
      </w:r>
    </w:p>
    <w:p w:rsidR="00E93AE2" w:rsidRDefault="00E93AE2" w:rsidP="00E93AE2">
      <w:r>
        <w:rPr>
          <w:rFonts w:eastAsia="Avenir Medium" w:cs="Avenir Medium"/>
          <w:szCs w:val="22"/>
        </w:rPr>
        <w:t>Sendikalaşma ve toplu iş sözleşmesi kapsamının yükseltilmesi için,</w:t>
      </w:r>
    </w:p>
    <w:p w:rsidR="00E93AE2" w:rsidRDefault="00E93AE2" w:rsidP="00E93AE2">
      <w:pPr>
        <w:numPr>
          <w:ilvl w:val="0"/>
          <w:numId w:val="21"/>
        </w:numPr>
        <w:spacing w:after="120" w:afterAutospacing="0"/>
        <w:ind w:hanging="360"/>
      </w:pPr>
      <w:r>
        <w:rPr>
          <w:rFonts w:eastAsia="Avenir Medium" w:cs="Avenir Medium"/>
          <w:szCs w:val="22"/>
        </w:rPr>
        <w:lastRenderedPageBreak/>
        <w:t>Sendikal yasalar Uluslararası Çalışma Örgütü (ILO) normlarına uygun hale getirilmeli, sendikal örgütlenmenin önündeki engeller kaldırılmalıdır.</w:t>
      </w:r>
    </w:p>
    <w:p w:rsidR="00E93AE2" w:rsidRDefault="00E93AE2" w:rsidP="00E93AE2">
      <w:pPr>
        <w:numPr>
          <w:ilvl w:val="0"/>
          <w:numId w:val="21"/>
        </w:numPr>
        <w:spacing w:after="120" w:afterAutospacing="0"/>
        <w:ind w:hanging="360"/>
      </w:pPr>
      <w:r>
        <w:rPr>
          <w:rFonts w:eastAsia="Avenir Medium" w:cs="Avenir Medium"/>
          <w:szCs w:val="22"/>
        </w:rPr>
        <w:t>Toplu iş sözleşmesi yetki sistemi köklü biçimde değiştirilmelidir.</w:t>
      </w:r>
    </w:p>
    <w:p w:rsidR="00E93AE2" w:rsidRDefault="00E93AE2" w:rsidP="00E93AE2">
      <w:pPr>
        <w:numPr>
          <w:ilvl w:val="0"/>
          <w:numId w:val="21"/>
        </w:numPr>
        <w:spacing w:after="120" w:afterAutospacing="0"/>
        <w:ind w:hanging="360"/>
      </w:pPr>
      <w:r>
        <w:rPr>
          <w:rFonts w:eastAsia="Avenir Medium" w:cs="Avenir Medium"/>
          <w:szCs w:val="22"/>
        </w:rPr>
        <w:t>İşkolu, işyeri ve işletme barajları kaldırılmalı, toplu iş sözleşmesi yetkisi işçilerin özgür iradesiyle (referandum) ile saptanmalı, hantal ve anti-demokratik mevcut yetki sistemi değiştirilmelidir.</w:t>
      </w:r>
    </w:p>
    <w:p w:rsidR="00E93AE2" w:rsidRDefault="00E93AE2" w:rsidP="00E93AE2">
      <w:pPr>
        <w:numPr>
          <w:ilvl w:val="0"/>
          <w:numId w:val="21"/>
        </w:numPr>
        <w:spacing w:after="120" w:afterAutospacing="0"/>
        <w:ind w:hanging="360"/>
      </w:pPr>
      <w:r>
        <w:rPr>
          <w:rFonts w:eastAsia="Avenir Medium" w:cs="Avenir Medium"/>
          <w:szCs w:val="22"/>
        </w:rPr>
        <w:t>6356 sayılı yasada yer alan teşmil sistemi işlevli hale getirilmeli ve toplu iş sözleşmeleri sendikasız işyerlerine de uygulanmalıdır.</w:t>
      </w:r>
      <w:r>
        <w:rPr>
          <w:rFonts w:eastAsia="Avenir Medium" w:cs="Avenir Medium"/>
          <w:sz w:val="16"/>
          <w:szCs w:val="16"/>
        </w:rPr>
        <w:t xml:space="preserve"> </w:t>
      </w:r>
    </w:p>
    <w:p w:rsidR="00CD3D0F" w:rsidRPr="00C47F97" w:rsidRDefault="00CD3D0F" w:rsidP="00E93AE2"/>
    <w:sectPr w:rsidR="00CD3D0F" w:rsidRPr="00C47F97" w:rsidSect="00E53F23">
      <w:headerReference w:type="default" r:id="rId11"/>
      <w:footerReference w:type="even" r:id="rId12"/>
      <w:footerReference w:type="default" r:id="rId13"/>
      <w:pgSz w:w="11900" w:h="16840"/>
      <w:pgMar w:top="1440" w:right="1835"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795F" w:rsidRDefault="005A795F" w:rsidP="00712615">
      <w:r>
        <w:separator/>
      </w:r>
    </w:p>
  </w:endnote>
  <w:endnote w:type="continuationSeparator" w:id="0">
    <w:p w:rsidR="005A795F" w:rsidRDefault="005A795F" w:rsidP="007126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venir Medium">
    <w:altName w:val="Trebuchet MS"/>
    <w:charset w:val="00"/>
    <w:family w:val="auto"/>
    <w:pitch w:val="variable"/>
    <w:sig w:usb0="00000001" w:usb1="5000204A" w:usb2="00000000" w:usb3="00000000" w:csb0="0000009B" w:csb1="00000000"/>
  </w:font>
  <w:font w:name="Avenir Heavy">
    <w:altName w:val="Trebuchet MS"/>
    <w:charset w:val="00"/>
    <w:family w:val="auto"/>
    <w:pitch w:val="variable"/>
    <w:sig w:usb0="00000001"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A2"/>
    <w:family w:val="swiss"/>
    <w:pitch w:val="variable"/>
    <w:sig w:usb0="E00002FF" w:usb1="4000ACFF" w:usb2="00000001" w:usb3="00000000" w:csb0="0000019F" w:csb1="00000000"/>
  </w:font>
  <w:font w:name="Times">
    <w:panose1 w:val="020206030504050203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venir Book">
    <w:charset w:val="00"/>
    <w:family w:val="auto"/>
    <w:pitch w:val="variable"/>
    <w:sig w:usb0="800000AF" w:usb1="5000204A" w:usb2="00000000" w:usb3="00000000" w:csb0="0000009B" w:csb1="00000000"/>
  </w:font>
  <w:font w:name="Verdana">
    <w:panose1 w:val="020B0604030504040204"/>
    <w:charset w:val="A2"/>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969" w:rsidRDefault="00833E14" w:rsidP="00E27750">
    <w:pPr>
      <w:pStyle w:val="Altbilgi"/>
      <w:framePr w:wrap="around" w:vAnchor="text" w:hAnchor="margin" w:xAlign="right" w:y="1"/>
      <w:rPr>
        <w:rStyle w:val="SayfaNumaras"/>
      </w:rPr>
    </w:pPr>
    <w:r>
      <w:rPr>
        <w:rStyle w:val="SayfaNumaras"/>
      </w:rPr>
      <w:fldChar w:fldCharType="begin"/>
    </w:r>
    <w:r w:rsidR="00976969">
      <w:rPr>
        <w:rStyle w:val="SayfaNumaras"/>
      </w:rPr>
      <w:instrText xml:space="preserve">PAGE  </w:instrText>
    </w:r>
    <w:r>
      <w:rPr>
        <w:rStyle w:val="SayfaNumaras"/>
      </w:rPr>
      <w:fldChar w:fldCharType="end"/>
    </w:r>
  </w:p>
  <w:p w:rsidR="00976969" w:rsidRDefault="00976969" w:rsidP="00E27750">
    <w:pPr>
      <w:pStyle w:val="Altbilgi"/>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969" w:rsidRDefault="00976969" w:rsidP="00341458">
    <w:pPr>
      <w:widowControl w:val="0"/>
      <w:pBdr>
        <w:top w:val="single" w:sz="4" w:space="1" w:color="auto"/>
      </w:pBdr>
      <w:autoSpaceDE w:val="0"/>
      <w:autoSpaceDN w:val="0"/>
      <w:adjustRightInd w:val="0"/>
      <w:spacing w:before="0" w:after="0" w:afterAutospacing="0"/>
      <w:ind w:right="360"/>
      <w:jc w:val="center"/>
      <w:rPr>
        <w:rFonts w:cs="Verdana"/>
        <w:color w:val="343434"/>
        <w:sz w:val="18"/>
        <w:szCs w:val="18"/>
      </w:rPr>
    </w:pPr>
    <w:r>
      <w:rPr>
        <w:rFonts w:cs="Verdana"/>
        <w:color w:val="343434"/>
        <w:sz w:val="18"/>
        <w:szCs w:val="18"/>
      </w:rPr>
      <w:t>Türkiye Devrimci İşçi Sendikaları Konfederasyonu (DİSK)</w:t>
    </w:r>
  </w:p>
  <w:p w:rsidR="00976969" w:rsidRPr="009D3590" w:rsidRDefault="00833E14" w:rsidP="009D3590">
    <w:pPr>
      <w:pStyle w:val="Altbilgi"/>
      <w:framePr w:w="185" w:wrap="around" w:vAnchor="text" w:hAnchor="page" w:x="10618" w:y="37"/>
      <w:rPr>
        <w:rStyle w:val="SayfaNumaras"/>
        <w:sz w:val="20"/>
        <w:szCs w:val="20"/>
      </w:rPr>
    </w:pPr>
    <w:r w:rsidRPr="009D3590">
      <w:rPr>
        <w:rStyle w:val="SayfaNumaras"/>
        <w:sz w:val="20"/>
        <w:szCs w:val="20"/>
      </w:rPr>
      <w:fldChar w:fldCharType="begin"/>
    </w:r>
    <w:r w:rsidR="00976969" w:rsidRPr="009D3590">
      <w:rPr>
        <w:rStyle w:val="SayfaNumaras"/>
        <w:sz w:val="20"/>
        <w:szCs w:val="20"/>
      </w:rPr>
      <w:instrText xml:space="preserve">PAGE  </w:instrText>
    </w:r>
    <w:r w:rsidRPr="009D3590">
      <w:rPr>
        <w:rStyle w:val="SayfaNumaras"/>
        <w:sz w:val="20"/>
        <w:szCs w:val="20"/>
      </w:rPr>
      <w:fldChar w:fldCharType="separate"/>
    </w:r>
    <w:r w:rsidR="00B55AFF">
      <w:rPr>
        <w:rStyle w:val="SayfaNumaras"/>
        <w:noProof/>
        <w:sz w:val="20"/>
        <w:szCs w:val="20"/>
      </w:rPr>
      <w:t>8</w:t>
    </w:r>
    <w:r w:rsidRPr="009D3590">
      <w:rPr>
        <w:rStyle w:val="SayfaNumaras"/>
        <w:sz w:val="20"/>
        <w:szCs w:val="20"/>
      </w:rPr>
      <w:fldChar w:fldCharType="end"/>
    </w:r>
  </w:p>
  <w:p w:rsidR="00976969" w:rsidRDefault="00976969" w:rsidP="007A109D">
    <w:pPr>
      <w:widowControl w:val="0"/>
      <w:autoSpaceDE w:val="0"/>
      <w:autoSpaceDN w:val="0"/>
      <w:adjustRightInd w:val="0"/>
      <w:spacing w:before="0" w:after="0" w:afterAutospacing="0"/>
      <w:ind w:right="360"/>
      <w:jc w:val="center"/>
      <w:rPr>
        <w:rFonts w:cs="Verdana"/>
        <w:color w:val="343434"/>
        <w:sz w:val="18"/>
        <w:szCs w:val="18"/>
      </w:rPr>
    </w:pPr>
    <w:r w:rsidRPr="00C835B7">
      <w:rPr>
        <w:rFonts w:cs="Verdana"/>
        <w:color w:val="343434"/>
        <w:sz w:val="18"/>
        <w:szCs w:val="18"/>
      </w:rPr>
      <w:t>Dikilitaş Mahall</w:t>
    </w:r>
    <w:r>
      <w:rPr>
        <w:rFonts w:cs="Verdana"/>
        <w:color w:val="343434"/>
        <w:sz w:val="18"/>
        <w:szCs w:val="18"/>
      </w:rPr>
      <w:t>esi Eren Sokak No: 4, Beşiktaş-</w:t>
    </w:r>
    <w:r w:rsidRPr="00C835B7">
      <w:rPr>
        <w:rFonts w:cs="Verdana"/>
        <w:color w:val="343434"/>
        <w:sz w:val="18"/>
        <w:szCs w:val="18"/>
      </w:rPr>
      <w:t>İstanbul</w:t>
    </w:r>
    <w:r>
      <w:rPr>
        <w:rFonts w:cs="Verdana"/>
        <w:color w:val="343434"/>
        <w:sz w:val="18"/>
        <w:szCs w:val="18"/>
      </w:rPr>
      <w:t xml:space="preserve"> </w:t>
    </w:r>
  </w:p>
  <w:p w:rsidR="00976969" w:rsidRPr="00C835B7" w:rsidRDefault="00976969" w:rsidP="007A109D">
    <w:pPr>
      <w:widowControl w:val="0"/>
      <w:autoSpaceDE w:val="0"/>
      <w:autoSpaceDN w:val="0"/>
      <w:adjustRightInd w:val="0"/>
      <w:spacing w:before="0" w:after="0" w:afterAutospacing="0"/>
      <w:ind w:right="360"/>
      <w:jc w:val="center"/>
      <w:rPr>
        <w:rFonts w:cs="Verdana"/>
        <w:color w:val="343434"/>
        <w:sz w:val="18"/>
        <w:szCs w:val="18"/>
      </w:rPr>
    </w:pPr>
    <w:r w:rsidRPr="00C835B7">
      <w:rPr>
        <w:rFonts w:cs="Verdana"/>
        <w:bCs/>
        <w:color w:val="343434"/>
        <w:sz w:val="18"/>
        <w:szCs w:val="18"/>
      </w:rPr>
      <w:t>Tel:</w:t>
    </w:r>
    <w:r>
      <w:rPr>
        <w:rFonts w:cs="Verdana"/>
        <w:color w:val="343434"/>
        <w:sz w:val="18"/>
        <w:szCs w:val="18"/>
      </w:rPr>
      <w:t xml:space="preserve"> (0212) 291 00 05 - 291 00 06 - 258 19 66 - </w:t>
    </w:r>
    <w:r w:rsidRPr="00C835B7">
      <w:rPr>
        <w:rFonts w:cs="Verdana"/>
        <w:color w:val="343434"/>
        <w:sz w:val="18"/>
        <w:szCs w:val="18"/>
      </w:rPr>
      <w:t>258 19 67</w:t>
    </w:r>
  </w:p>
  <w:p w:rsidR="00976969" w:rsidRPr="00C835B7" w:rsidRDefault="00976969" w:rsidP="00C835B7">
    <w:pPr>
      <w:widowControl w:val="0"/>
      <w:autoSpaceDE w:val="0"/>
      <w:autoSpaceDN w:val="0"/>
      <w:adjustRightInd w:val="0"/>
      <w:spacing w:before="0" w:after="0" w:afterAutospacing="0"/>
      <w:jc w:val="center"/>
      <w:rPr>
        <w:rFonts w:cs="Verdana"/>
        <w:color w:val="343434"/>
        <w:sz w:val="20"/>
        <w:szCs w:val="20"/>
      </w:rPr>
    </w:pPr>
    <w:r w:rsidRPr="00C835B7">
      <w:rPr>
        <w:rFonts w:cs="Verdana"/>
        <w:bCs/>
        <w:color w:val="343434"/>
        <w:sz w:val="18"/>
        <w:szCs w:val="18"/>
      </w:rPr>
      <w:t>Faks:</w:t>
    </w:r>
    <w:r w:rsidRPr="00C835B7">
      <w:rPr>
        <w:rFonts w:cs="Verdana"/>
        <w:color w:val="343434"/>
        <w:sz w:val="18"/>
        <w:szCs w:val="18"/>
      </w:rPr>
      <w:t xml:space="preserve"> (0212) 240 42 09 </w:t>
    </w:r>
    <w:r w:rsidRPr="00C835B7">
      <w:rPr>
        <w:rFonts w:cs="Verdana"/>
        <w:bCs/>
        <w:color w:val="343434"/>
        <w:sz w:val="18"/>
        <w:szCs w:val="18"/>
      </w:rPr>
      <w:t>GSM:</w:t>
    </w:r>
    <w:r w:rsidRPr="00C835B7">
      <w:rPr>
        <w:rFonts w:cs="Verdana"/>
        <w:color w:val="343434"/>
        <w:sz w:val="18"/>
        <w:szCs w:val="18"/>
      </w:rPr>
      <w:t xml:space="preserve"> 0533 276 47 23 Web: </w:t>
    </w:r>
    <w:proofErr w:type="gramStart"/>
    <w:r w:rsidRPr="00C835B7">
      <w:rPr>
        <w:rFonts w:cs="Verdana"/>
        <w:color w:val="343434"/>
        <w:sz w:val="18"/>
        <w:szCs w:val="18"/>
      </w:rPr>
      <w:t>disk.</w:t>
    </w:r>
    <w:proofErr w:type="spellStart"/>
    <w:r w:rsidRPr="00C835B7">
      <w:rPr>
        <w:rFonts w:cs="Verdana"/>
        <w:color w:val="343434"/>
        <w:sz w:val="18"/>
        <w:szCs w:val="18"/>
      </w:rPr>
      <w:t>org.tr</w:t>
    </w:r>
    <w:proofErr w:type="spellEnd"/>
    <w:proofErr w:type="gramEnd"/>
    <w:r w:rsidRPr="00C835B7">
      <w:rPr>
        <w:rFonts w:cs="Verdana"/>
        <w:color w:val="343434"/>
        <w:sz w:val="18"/>
        <w:szCs w:val="18"/>
      </w:rPr>
      <w:t xml:space="preserve"> </w:t>
    </w:r>
    <w:r w:rsidRPr="00C835B7">
      <w:rPr>
        <w:rFonts w:cs="Verdana"/>
        <w:bCs/>
        <w:color w:val="343434"/>
        <w:sz w:val="18"/>
        <w:szCs w:val="18"/>
      </w:rPr>
      <w:t>Eposta:</w:t>
    </w:r>
    <w:r w:rsidRPr="00C835B7">
      <w:rPr>
        <w:rFonts w:cs="Verdana"/>
        <w:color w:val="343434"/>
        <w:sz w:val="18"/>
        <w:szCs w:val="18"/>
      </w:rPr>
      <w:t xml:space="preserve"> disk@disk.</w:t>
    </w:r>
    <w:proofErr w:type="spellStart"/>
    <w:r w:rsidRPr="00C835B7">
      <w:rPr>
        <w:rFonts w:cs="Verdana"/>
        <w:color w:val="343434"/>
        <w:sz w:val="18"/>
        <w:szCs w:val="18"/>
      </w:rPr>
      <w:t>org.</w:t>
    </w:r>
    <w:r w:rsidRPr="00C835B7">
      <w:rPr>
        <w:rFonts w:cs="Verdana"/>
        <w:color w:val="343434"/>
        <w:sz w:val="20"/>
        <w:szCs w:val="20"/>
      </w:rPr>
      <w:t>tr</w:t>
    </w:r>
    <w:proofErr w:type="spellEnd"/>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795F" w:rsidRDefault="005A795F" w:rsidP="00712615">
      <w:r>
        <w:separator/>
      </w:r>
    </w:p>
  </w:footnote>
  <w:footnote w:type="continuationSeparator" w:id="0">
    <w:p w:rsidR="005A795F" w:rsidRDefault="005A795F" w:rsidP="007126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969" w:rsidRDefault="00976969" w:rsidP="00D05ADC">
    <w:pPr>
      <w:pStyle w:val="stbilgi"/>
      <w:ind w:hanging="42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38F474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74CE7822"/>
    <w:lvl w:ilvl="0">
      <w:start w:val="1"/>
      <w:numFmt w:val="decimal"/>
      <w:lvlText w:val="%1."/>
      <w:lvlJc w:val="left"/>
      <w:pPr>
        <w:tabs>
          <w:tab w:val="num" w:pos="1492"/>
        </w:tabs>
        <w:ind w:left="1492" w:hanging="360"/>
      </w:pPr>
    </w:lvl>
  </w:abstractNum>
  <w:abstractNum w:abstractNumId="2">
    <w:nsid w:val="FFFFFF7D"/>
    <w:multiLevelType w:val="singleLevel"/>
    <w:tmpl w:val="0C7A1848"/>
    <w:lvl w:ilvl="0">
      <w:start w:val="1"/>
      <w:numFmt w:val="decimal"/>
      <w:lvlText w:val="%1."/>
      <w:lvlJc w:val="left"/>
      <w:pPr>
        <w:tabs>
          <w:tab w:val="num" w:pos="1209"/>
        </w:tabs>
        <w:ind w:left="1209" w:hanging="360"/>
      </w:pPr>
    </w:lvl>
  </w:abstractNum>
  <w:abstractNum w:abstractNumId="3">
    <w:nsid w:val="FFFFFF7E"/>
    <w:multiLevelType w:val="singleLevel"/>
    <w:tmpl w:val="E29ADF1E"/>
    <w:lvl w:ilvl="0">
      <w:start w:val="1"/>
      <w:numFmt w:val="decimal"/>
      <w:lvlText w:val="%1."/>
      <w:lvlJc w:val="left"/>
      <w:pPr>
        <w:tabs>
          <w:tab w:val="num" w:pos="926"/>
        </w:tabs>
        <w:ind w:left="926" w:hanging="360"/>
      </w:pPr>
    </w:lvl>
  </w:abstractNum>
  <w:abstractNum w:abstractNumId="4">
    <w:nsid w:val="FFFFFF7F"/>
    <w:multiLevelType w:val="singleLevel"/>
    <w:tmpl w:val="2736A93C"/>
    <w:lvl w:ilvl="0">
      <w:start w:val="1"/>
      <w:numFmt w:val="decimal"/>
      <w:lvlText w:val="%1."/>
      <w:lvlJc w:val="left"/>
      <w:pPr>
        <w:tabs>
          <w:tab w:val="num" w:pos="643"/>
        </w:tabs>
        <w:ind w:left="643" w:hanging="360"/>
      </w:pPr>
    </w:lvl>
  </w:abstractNum>
  <w:abstractNum w:abstractNumId="5">
    <w:nsid w:val="FFFFFF80"/>
    <w:multiLevelType w:val="singleLevel"/>
    <w:tmpl w:val="F618972C"/>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F580C8EA"/>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3594BBEE"/>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4B8ED47E"/>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E3F489F4"/>
    <w:lvl w:ilvl="0">
      <w:start w:val="1"/>
      <w:numFmt w:val="decimal"/>
      <w:lvlText w:val="%1."/>
      <w:lvlJc w:val="left"/>
      <w:pPr>
        <w:tabs>
          <w:tab w:val="num" w:pos="360"/>
        </w:tabs>
        <w:ind w:left="360" w:hanging="360"/>
      </w:pPr>
    </w:lvl>
  </w:abstractNum>
  <w:abstractNum w:abstractNumId="10">
    <w:nsid w:val="FFFFFF89"/>
    <w:multiLevelType w:val="singleLevel"/>
    <w:tmpl w:val="93361070"/>
    <w:lvl w:ilvl="0">
      <w:start w:val="1"/>
      <w:numFmt w:val="bullet"/>
      <w:lvlText w:val=""/>
      <w:lvlJc w:val="left"/>
      <w:pPr>
        <w:tabs>
          <w:tab w:val="num" w:pos="360"/>
        </w:tabs>
        <w:ind w:left="360" w:hanging="360"/>
      </w:pPr>
      <w:rPr>
        <w:rFonts w:ascii="Symbol" w:hAnsi="Symbol" w:hint="default"/>
      </w:rPr>
    </w:lvl>
  </w:abstractNum>
  <w:abstractNum w:abstractNumId="11">
    <w:nsid w:val="0DE073EC"/>
    <w:multiLevelType w:val="hybridMultilevel"/>
    <w:tmpl w:val="EAE03EE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2BA34F7A"/>
    <w:multiLevelType w:val="multilevel"/>
    <w:tmpl w:val="5FE2F29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3">
    <w:nsid w:val="2D623CEC"/>
    <w:multiLevelType w:val="multilevel"/>
    <w:tmpl w:val="C8D8A43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4">
    <w:nsid w:val="44221579"/>
    <w:multiLevelType w:val="hybridMultilevel"/>
    <w:tmpl w:val="DE70F7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B24959"/>
    <w:multiLevelType w:val="hybridMultilevel"/>
    <w:tmpl w:val="2CE2430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5EE54EFD"/>
    <w:multiLevelType w:val="hybridMultilevel"/>
    <w:tmpl w:val="2FC2A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701FAF"/>
    <w:multiLevelType w:val="hybridMultilevel"/>
    <w:tmpl w:val="6CB86B0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63613AEF"/>
    <w:multiLevelType w:val="hybridMultilevel"/>
    <w:tmpl w:val="230252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64322599"/>
    <w:multiLevelType w:val="hybridMultilevel"/>
    <w:tmpl w:val="2C7255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DBB615A"/>
    <w:multiLevelType w:val="hybridMultilevel"/>
    <w:tmpl w:val="E7B814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20"/>
  </w:num>
  <w:num w:numId="4">
    <w:abstractNumId w:val="10"/>
  </w:num>
  <w:num w:numId="5">
    <w:abstractNumId w:val="8"/>
  </w:num>
  <w:num w:numId="6">
    <w:abstractNumId w:val="7"/>
  </w:num>
  <w:num w:numId="7">
    <w:abstractNumId w:val="6"/>
  </w:num>
  <w:num w:numId="8">
    <w:abstractNumId w:val="5"/>
  </w:num>
  <w:num w:numId="9">
    <w:abstractNumId w:val="9"/>
  </w:num>
  <w:num w:numId="10">
    <w:abstractNumId w:val="4"/>
  </w:num>
  <w:num w:numId="11">
    <w:abstractNumId w:val="3"/>
  </w:num>
  <w:num w:numId="12">
    <w:abstractNumId w:val="2"/>
  </w:num>
  <w:num w:numId="13">
    <w:abstractNumId w:val="1"/>
  </w:num>
  <w:num w:numId="14">
    <w:abstractNumId w:val="0"/>
  </w:num>
  <w:num w:numId="15">
    <w:abstractNumId w:val="15"/>
  </w:num>
  <w:num w:numId="16">
    <w:abstractNumId w:val="14"/>
  </w:num>
  <w:num w:numId="17">
    <w:abstractNumId w:val="18"/>
  </w:num>
  <w:num w:numId="18">
    <w:abstractNumId w:val="17"/>
  </w:num>
  <w:num w:numId="19">
    <w:abstractNumId w:val="11"/>
  </w:num>
  <w:num w:numId="20">
    <w:abstractNumId w:val="13"/>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1004"/>
  <w:defaultTabStop w:val="720"/>
  <w:hyphenationZone w:val="425"/>
  <w:characterSpacingControl w:val="doNotCompress"/>
  <w:hdrShapeDefaults>
    <o:shapedefaults v:ext="edit" spidmax="5122"/>
  </w:hdrShapeDefaults>
  <w:footnotePr>
    <w:footnote w:id="-1"/>
    <w:footnote w:id="0"/>
  </w:footnotePr>
  <w:endnotePr>
    <w:endnote w:id="-1"/>
    <w:endnote w:id="0"/>
  </w:endnotePr>
  <w:compat>
    <w:useFELayout/>
    <w:doNotAutofitConstrainedTables/>
    <w:splitPgBreakAndParaMark/>
  </w:compat>
  <w:rsids>
    <w:rsidRoot w:val="00827DFC"/>
    <w:rsid w:val="00001DF8"/>
    <w:rsid w:val="00003158"/>
    <w:rsid w:val="0000655A"/>
    <w:rsid w:val="00014E9B"/>
    <w:rsid w:val="000169D7"/>
    <w:rsid w:val="000272E2"/>
    <w:rsid w:val="00036AD4"/>
    <w:rsid w:val="00036F1E"/>
    <w:rsid w:val="000467CD"/>
    <w:rsid w:val="0006148B"/>
    <w:rsid w:val="00061F6B"/>
    <w:rsid w:val="00067D3C"/>
    <w:rsid w:val="00081150"/>
    <w:rsid w:val="000812F1"/>
    <w:rsid w:val="00087823"/>
    <w:rsid w:val="00097FF0"/>
    <w:rsid w:val="000A139C"/>
    <w:rsid w:val="000A2F76"/>
    <w:rsid w:val="000A32DA"/>
    <w:rsid w:val="000A4422"/>
    <w:rsid w:val="000C2795"/>
    <w:rsid w:val="000C3F19"/>
    <w:rsid w:val="000C62CB"/>
    <w:rsid w:val="000E1B0D"/>
    <w:rsid w:val="000E1D36"/>
    <w:rsid w:val="000F3D7A"/>
    <w:rsid w:val="000F43AE"/>
    <w:rsid w:val="00103869"/>
    <w:rsid w:val="00104557"/>
    <w:rsid w:val="001062FA"/>
    <w:rsid w:val="001178EC"/>
    <w:rsid w:val="0013231D"/>
    <w:rsid w:val="0013519C"/>
    <w:rsid w:val="001359DE"/>
    <w:rsid w:val="001455FE"/>
    <w:rsid w:val="001459DC"/>
    <w:rsid w:val="00150E8D"/>
    <w:rsid w:val="00153B14"/>
    <w:rsid w:val="001671F6"/>
    <w:rsid w:val="00170EFC"/>
    <w:rsid w:val="001744C6"/>
    <w:rsid w:val="001757B1"/>
    <w:rsid w:val="00182E0D"/>
    <w:rsid w:val="00182E94"/>
    <w:rsid w:val="001836B5"/>
    <w:rsid w:val="00185878"/>
    <w:rsid w:val="001940C8"/>
    <w:rsid w:val="001A0A59"/>
    <w:rsid w:val="001A216B"/>
    <w:rsid w:val="001B09A2"/>
    <w:rsid w:val="001B3670"/>
    <w:rsid w:val="001B3F03"/>
    <w:rsid w:val="001B6BD1"/>
    <w:rsid w:val="001C258D"/>
    <w:rsid w:val="001C3F86"/>
    <w:rsid w:val="001D07FD"/>
    <w:rsid w:val="001E0CFD"/>
    <w:rsid w:val="001E3350"/>
    <w:rsid w:val="001E4FB5"/>
    <w:rsid w:val="001E5D31"/>
    <w:rsid w:val="001E778E"/>
    <w:rsid w:val="001F16B9"/>
    <w:rsid w:val="00201ABF"/>
    <w:rsid w:val="00220819"/>
    <w:rsid w:val="00220D07"/>
    <w:rsid w:val="002231B7"/>
    <w:rsid w:val="00224107"/>
    <w:rsid w:val="00227AA2"/>
    <w:rsid w:val="002303FF"/>
    <w:rsid w:val="00230548"/>
    <w:rsid w:val="0023162C"/>
    <w:rsid w:val="00231CAC"/>
    <w:rsid w:val="00245F6B"/>
    <w:rsid w:val="00246535"/>
    <w:rsid w:val="00254D76"/>
    <w:rsid w:val="00256442"/>
    <w:rsid w:val="0026138C"/>
    <w:rsid w:val="00261F70"/>
    <w:rsid w:val="00267DC4"/>
    <w:rsid w:val="00273C9C"/>
    <w:rsid w:val="00274301"/>
    <w:rsid w:val="00276035"/>
    <w:rsid w:val="002767F5"/>
    <w:rsid w:val="00282CAA"/>
    <w:rsid w:val="0028345B"/>
    <w:rsid w:val="002849BF"/>
    <w:rsid w:val="00286394"/>
    <w:rsid w:val="00296981"/>
    <w:rsid w:val="002A515F"/>
    <w:rsid w:val="002A609A"/>
    <w:rsid w:val="002B40C9"/>
    <w:rsid w:val="002C6248"/>
    <w:rsid w:val="002C6372"/>
    <w:rsid w:val="002D0D15"/>
    <w:rsid w:val="002E0370"/>
    <w:rsid w:val="002E10EF"/>
    <w:rsid w:val="002E5E25"/>
    <w:rsid w:val="002E751C"/>
    <w:rsid w:val="002E7943"/>
    <w:rsid w:val="00311629"/>
    <w:rsid w:val="0031201D"/>
    <w:rsid w:val="00314492"/>
    <w:rsid w:val="00327AAF"/>
    <w:rsid w:val="003331B1"/>
    <w:rsid w:val="00341458"/>
    <w:rsid w:val="0034254F"/>
    <w:rsid w:val="003443B3"/>
    <w:rsid w:val="00347939"/>
    <w:rsid w:val="00357D09"/>
    <w:rsid w:val="00364B96"/>
    <w:rsid w:val="003730F7"/>
    <w:rsid w:val="00373EF7"/>
    <w:rsid w:val="00377F46"/>
    <w:rsid w:val="003802EF"/>
    <w:rsid w:val="00386FB5"/>
    <w:rsid w:val="00390900"/>
    <w:rsid w:val="00394418"/>
    <w:rsid w:val="003A6BA3"/>
    <w:rsid w:val="003A77D4"/>
    <w:rsid w:val="003A78B6"/>
    <w:rsid w:val="003B217B"/>
    <w:rsid w:val="003B70BF"/>
    <w:rsid w:val="003C009B"/>
    <w:rsid w:val="003D1D41"/>
    <w:rsid w:val="003E6611"/>
    <w:rsid w:val="003F213B"/>
    <w:rsid w:val="00406F76"/>
    <w:rsid w:val="00415550"/>
    <w:rsid w:val="004156CC"/>
    <w:rsid w:val="00421349"/>
    <w:rsid w:val="004257BD"/>
    <w:rsid w:val="004432F9"/>
    <w:rsid w:val="00445DA0"/>
    <w:rsid w:val="004542ED"/>
    <w:rsid w:val="00456A9B"/>
    <w:rsid w:val="0045798B"/>
    <w:rsid w:val="004624D8"/>
    <w:rsid w:val="00467191"/>
    <w:rsid w:val="00472858"/>
    <w:rsid w:val="004732E8"/>
    <w:rsid w:val="00496CFE"/>
    <w:rsid w:val="004A3545"/>
    <w:rsid w:val="004B0940"/>
    <w:rsid w:val="004B2787"/>
    <w:rsid w:val="004D1067"/>
    <w:rsid w:val="004D2036"/>
    <w:rsid w:val="004E0C3E"/>
    <w:rsid w:val="004E2CD1"/>
    <w:rsid w:val="004F0B36"/>
    <w:rsid w:val="004F0C62"/>
    <w:rsid w:val="004F4C86"/>
    <w:rsid w:val="004F72E1"/>
    <w:rsid w:val="00502580"/>
    <w:rsid w:val="005103D6"/>
    <w:rsid w:val="00517D0D"/>
    <w:rsid w:val="005215A5"/>
    <w:rsid w:val="00525D59"/>
    <w:rsid w:val="005328C5"/>
    <w:rsid w:val="00534426"/>
    <w:rsid w:val="00540238"/>
    <w:rsid w:val="005438D8"/>
    <w:rsid w:val="0055163F"/>
    <w:rsid w:val="00551C6C"/>
    <w:rsid w:val="00561C78"/>
    <w:rsid w:val="00562C41"/>
    <w:rsid w:val="00581968"/>
    <w:rsid w:val="00583960"/>
    <w:rsid w:val="00593F11"/>
    <w:rsid w:val="00595F85"/>
    <w:rsid w:val="005A0D71"/>
    <w:rsid w:val="005A5248"/>
    <w:rsid w:val="005A6F3F"/>
    <w:rsid w:val="005A795F"/>
    <w:rsid w:val="005B3E94"/>
    <w:rsid w:val="005B4330"/>
    <w:rsid w:val="005B6A2C"/>
    <w:rsid w:val="005C0C68"/>
    <w:rsid w:val="005E256F"/>
    <w:rsid w:val="005F0234"/>
    <w:rsid w:val="005F05E0"/>
    <w:rsid w:val="005F11C6"/>
    <w:rsid w:val="0060109D"/>
    <w:rsid w:val="00601FFE"/>
    <w:rsid w:val="0061223E"/>
    <w:rsid w:val="00617211"/>
    <w:rsid w:val="00625787"/>
    <w:rsid w:val="00635167"/>
    <w:rsid w:val="0063646F"/>
    <w:rsid w:val="00640879"/>
    <w:rsid w:val="0064232C"/>
    <w:rsid w:val="0064266F"/>
    <w:rsid w:val="00642790"/>
    <w:rsid w:val="00643226"/>
    <w:rsid w:val="00645FBD"/>
    <w:rsid w:val="00661F90"/>
    <w:rsid w:val="0066319D"/>
    <w:rsid w:val="00674301"/>
    <w:rsid w:val="00676F25"/>
    <w:rsid w:val="00677448"/>
    <w:rsid w:val="006838CD"/>
    <w:rsid w:val="0068607A"/>
    <w:rsid w:val="0068627B"/>
    <w:rsid w:val="006A0814"/>
    <w:rsid w:val="006A5C9B"/>
    <w:rsid w:val="006A61EF"/>
    <w:rsid w:val="006B2D19"/>
    <w:rsid w:val="006B5226"/>
    <w:rsid w:val="006D5CBE"/>
    <w:rsid w:val="006E0F7F"/>
    <w:rsid w:val="006E1435"/>
    <w:rsid w:val="006E5405"/>
    <w:rsid w:val="006F4800"/>
    <w:rsid w:val="006F7855"/>
    <w:rsid w:val="007018D3"/>
    <w:rsid w:val="0070227C"/>
    <w:rsid w:val="00705473"/>
    <w:rsid w:val="00712615"/>
    <w:rsid w:val="00725B38"/>
    <w:rsid w:val="00730CD1"/>
    <w:rsid w:val="00732BAB"/>
    <w:rsid w:val="007377E7"/>
    <w:rsid w:val="00740C4A"/>
    <w:rsid w:val="00741019"/>
    <w:rsid w:val="00741D52"/>
    <w:rsid w:val="007550CD"/>
    <w:rsid w:val="00771820"/>
    <w:rsid w:val="007806F0"/>
    <w:rsid w:val="00780CC9"/>
    <w:rsid w:val="00781077"/>
    <w:rsid w:val="0078203C"/>
    <w:rsid w:val="0078627B"/>
    <w:rsid w:val="00796AB8"/>
    <w:rsid w:val="007A109D"/>
    <w:rsid w:val="007A2744"/>
    <w:rsid w:val="007A6ECA"/>
    <w:rsid w:val="007B10A7"/>
    <w:rsid w:val="007B124A"/>
    <w:rsid w:val="007B4264"/>
    <w:rsid w:val="007C016B"/>
    <w:rsid w:val="007C1C1B"/>
    <w:rsid w:val="007C2961"/>
    <w:rsid w:val="007C2AF5"/>
    <w:rsid w:val="007C7EAF"/>
    <w:rsid w:val="007D0BAC"/>
    <w:rsid w:val="007D49B4"/>
    <w:rsid w:val="007D6232"/>
    <w:rsid w:val="007E29BA"/>
    <w:rsid w:val="007F4DF8"/>
    <w:rsid w:val="008029C3"/>
    <w:rsid w:val="008070D4"/>
    <w:rsid w:val="008115BF"/>
    <w:rsid w:val="00811B3F"/>
    <w:rsid w:val="0081465B"/>
    <w:rsid w:val="008164DC"/>
    <w:rsid w:val="008245FD"/>
    <w:rsid w:val="00827DFC"/>
    <w:rsid w:val="008335BC"/>
    <w:rsid w:val="00833E14"/>
    <w:rsid w:val="00841DA2"/>
    <w:rsid w:val="00846BCE"/>
    <w:rsid w:val="00873D94"/>
    <w:rsid w:val="00892968"/>
    <w:rsid w:val="00896E63"/>
    <w:rsid w:val="00897781"/>
    <w:rsid w:val="008A55B3"/>
    <w:rsid w:val="008A68D3"/>
    <w:rsid w:val="008B7E89"/>
    <w:rsid w:val="008C47A8"/>
    <w:rsid w:val="008C65D8"/>
    <w:rsid w:val="008C68FD"/>
    <w:rsid w:val="008D3A87"/>
    <w:rsid w:val="008D4FE6"/>
    <w:rsid w:val="008E2793"/>
    <w:rsid w:val="008F2EA0"/>
    <w:rsid w:val="00904A1C"/>
    <w:rsid w:val="00904B0A"/>
    <w:rsid w:val="00923639"/>
    <w:rsid w:val="00923D50"/>
    <w:rsid w:val="00925E26"/>
    <w:rsid w:val="00930B53"/>
    <w:rsid w:val="00931737"/>
    <w:rsid w:val="00936403"/>
    <w:rsid w:val="009449B1"/>
    <w:rsid w:val="0095244F"/>
    <w:rsid w:val="00952995"/>
    <w:rsid w:val="00954C99"/>
    <w:rsid w:val="0095768D"/>
    <w:rsid w:val="00963274"/>
    <w:rsid w:val="00964016"/>
    <w:rsid w:val="0097644B"/>
    <w:rsid w:val="00976969"/>
    <w:rsid w:val="009851DE"/>
    <w:rsid w:val="00994B1B"/>
    <w:rsid w:val="009A0D0E"/>
    <w:rsid w:val="009A781C"/>
    <w:rsid w:val="009B0F2F"/>
    <w:rsid w:val="009B66F1"/>
    <w:rsid w:val="009B77F8"/>
    <w:rsid w:val="009D3590"/>
    <w:rsid w:val="009D420E"/>
    <w:rsid w:val="009E7C8C"/>
    <w:rsid w:val="00A02A41"/>
    <w:rsid w:val="00A15A81"/>
    <w:rsid w:val="00A203FD"/>
    <w:rsid w:val="00A342E0"/>
    <w:rsid w:val="00A36222"/>
    <w:rsid w:val="00A52A62"/>
    <w:rsid w:val="00A56935"/>
    <w:rsid w:val="00A64357"/>
    <w:rsid w:val="00A65E08"/>
    <w:rsid w:val="00A74DE5"/>
    <w:rsid w:val="00A7651C"/>
    <w:rsid w:val="00A82C1E"/>
    <w:rsid w:val="00A867F7"/>
    <w:rsid w:val="00A86EB5"/>
    <w:rsid w:val="00A87E06"/>
    <w:rsid w:val="00A929A2"/>
    <w:rsid w:val="00A961F0"/>
    <w:rsid w:val="00A96BE4"/>
    <w:rsid w:val="00A96C28"/>
    <w:rsid w:val="00AA12D8"/>
    <w:rsid w:val="00AA30FE"/>
    <w:rsid w:val="00AA6DE0"/>
    <w:rsid w:val="00AB5013"/>
    <w:rsid w:val="00AB5B7D"/>
    <w:rsid w:val="00AB64EA"/>
    <w:rsid w:val="00AB7674"/>
    <w:rsid w:val="00AC0678"/>
    <w:rsid w:val="00AD431D"/>
    <w:rsid w:val="00AD72B4"/>
    <w:rsid w:val="00AE09E8"/>
    <w:rsid w:val="00AE3776"/>
    <w:rsid w:val="00AE4185"/>
    <w:rsid w:val="00B12ADD"/>
    <w:rsid w:val="00B17AD2"/>
    <w:rsid w:val="00B23EAA"/>
    <w:rsid w:val="00B2699A"/>
    <w:rsid w:val="00B33232"/>
    <w:rsid w:val="00B3661A"/>
    <w:rsid w:val="00B37BF8"/>
    <w:rsid w:val="00B468B3"/>
    <w:rsid w:val="00B55015"/>
    <w:rsid w:val="00B55AFF"/>
    <w:rsid w:val="00B64557"/>
    <w:rsid w:val="00B71599"/>
    <w:rsid w:val="00B74F28"/>
    <w:rsid w:val="00B7740E"/>
    <w:rsid w:val="00B82883"/>
    <w:rsid w:val="00B95EAB"/>
    <w:rsid w:val="00BA04E3"/>
    <w:rsid w:val="00BA06FA"/>
    <w:rsid w:val="00BB0D1D"/>
    <w:rsid w:val="00BB68CB"/>
    <w:rsid w:val="00BC00D0"/>
    <w:rsid w:val="00BC0CB3"/>
    <w:rsid w:val="00BC511C"/>
    <w:rsid w:val="00BC775E"/>
    <w:rsid w:val="00BD12D9"/>
    <w:rsid w:val="00BD16D5"/>
    <w:rsid w:val="00BD4628"/>
    <w:rsid w:val="00BD49EF"/>
    <w:rsid w:val="00BE13C2"/>
    <w:rsid w:val="00BE471C"/>
    <w:rsid w:val="00BE707F"/>
    <w:rsid w:val="00BF6FCD"/>
    <w:rsid w:val="00C11406"/>
    <w:rsid w:val="00C11DB7"/>
    <w:rsid w:val="00C14ECB"/>
    <w:rsid w:val="00C1765F"/>
    <w:rsid w:val="00C22249"/>
    <w:rsid w:val="00C47F97"/>
    <w:rsid w:val="00C512BA"/>
    <w:rsid w:val="00C730F2"/>
    <w:rsid w:val="00C73FBE"/>
    <w:rsid w:val="00C7648B"/>
    <w:rsid w:val="00C80FB8"/>
    <w:rsid w:val="00C81682"/>
    <w:rsid w:val="00C835B7"/>
    <w:rsid w:val="00C8525D"/>
    <w:rsid w:val="00CB1511"/>
    <w:rsid w:val="00CC1F76"/>
    <w:rsid w:val="00CC5ADD"/>
    <w:rsid w:val="00CD1B69"/>
    <w:rsid w:val="00CD33FE"/>
    <w:rsid w:val="00CD3D0F"/>
    <w:rsid w:val="00CD6E4D"/>
    <w:rsid w:val="00CF0D99"/>
    <w:rsid w:val="00D0101F"/>
    <w:rsid w:val="00D05ADC"/>
    <w:rsid w:val="00D12AF6"/>
    <w:rsid w:val="00D15C9F"/>
    <w:rsid w:val="00D15D4E"/>
    <w:rsid w:val="00D20FA7"/>
    <w:rsid w:val="00D30096"/>
    <w:rsid w:val="00D32539"/>
    <w:rsid w:val="00D35511"/>
    <w:rsid w:val="00D40203"/>
    <w:rsid w:val="00D4187C"/>
    <w:rsid w:val="00D41E7E"/>
    <w:rsid w:val="00D521EA"/>
    <w:rsid w:val="00D63CF9"/>
    <w:rsid w:val="00D64AF6"/>
    <w:rsid w:val="00D72D87"/>
    <w:rsid w:val="00D758C6"/>
    <w:rsid w:val="00D915FB"/>
    <w:rsid w:val="00DA17F8"/>
    <w:rsid w:val="00DA2272"/>
    <w:rsid w:val="00DA422A"/>
    <w:rsid w:val="00DA5C22"/>
    <w:rsid w:val="00DA71A0"/>
    <w:rsid w:val="00DB59D2"/>
    <w:rsid w:val="00DC29F3"/>
    <w:rsid w:val="00DC5FBD"/>
    <w:rsid w:val="00DD2669"/>
    <w:rsid w:val="00DD5F3F"/>
    <w:rsid w:val="00DE330D"/>
    <w:rsid w:val="00DE3F86"/>
    <w:rsid w:val="00DE7D8B"/>
    <w:rsid w:val="00E0342E"/>
    <w:rsid w:val="00E10428"/>
    <w:rsid w:val="00E10A49"/>
    <w:rsid w:val="00E12265"/>
    <w:rsid w:val="00E27286"/>
    <w:rsid w:val="00E27750"/>
    <w:rsid w:val="00E35F6C"/>
    <w:rsid w:val="00E40840"/>
    <w:rsid w:val="00E4133B"/>
    <w:rsid w:val="00E527F4"/>
    <w:rsid w:val="00E53F23"/>
    <w:rsid w:val="00E54B71"/>
    <w:rsid w:val="00E57BA4"/>
    <w:rsid w:val="00E61B39"/>
    <w:rsid w:val="00E70D85"/>
    <w:rsid w:val="00E72426"/>
    <w:rsid w:val="00E727AF"/>
    <w:rsid w:val="00E75506"/>
    <w:rsid w:val="00E7643A"/>
    <w:rsid w:val="00E825F0"/>
    <w:rsid w:val="00E93AE2"/>
    <w:rsid w:val="00E97794"/>
    <w:rsid w:val="00EA1BE9"/>
    <w:rsid w:val="00EA1DFB"/>
    <w:rsid w:val="00EA78CB"/>
    <w:rsid w:val="00EB0E20"/>
    <w:rsid w:val="00EC0BC9"/>
    <w:rsid w:val="00ED5185"/>
    <w:rsid w:val="00EE051E"/>
    <w:rsid w:val="00EE208A"/>
    <w:rsid w:val="00EE435C"/>
    <w:rsid w:val="00EE5A48"/>
    <w:rsid w:val="00EF0657"/>
    <w:rsid w:val="00EF4600"/>
    <w:rsid w:val="00EF58D6"/>
    <w:rsid w:val="00F0075E"/>
    <w:rsid w:val="00F01FAE"/>
    <w:rsid w:val="00F070AF"/>
    <w:rsid w:val="00F105B6"/>
    <w:rsid w:val="00F1381F"/>
    <w:rsid w:val="00F225FD"/>
    <w:rsid w:val="00F2543C"/>
    <w:rsid w:val="00F316FE"/>
    <w:rsid w:val="00F33C8D"/>
    <w:rsid w:val="00F40958"/>
    <w:rsid w:val="00F40B18"/>
    <w:rsid w:val="00F45F02"/>
    <w:rsid w:val="00F466EB"/>
    <w:rsid w:val="00F51997"/>
    <w:rsid w:val="00F613DC"/>
    <w:rsid w:val="00F649B7"/>
    <w:rsid w:val="00F6765B"/>
    <w:rsid w:val="00F7002B"/>
    <w:rsid w:val="00F706A3"/>
    <w:rsid w:val="00F719F6"/>
    <w:rsid w:val="00F728B6"/>
    <w:rsid w:val="00F81877"/>
    <w:rsid w:val="00F933BA"/>
    <w:rsid w:val="00FA0DBA"/>
    <w:rsid w:val="00FB2089"/>
    <w:rsid w:val="00FB2D6C"/>
    <w:rsid w:val="00FB5D97"/>
    <w:rsid w:val="00FC1395"/>
    <w:rsid w:val="00FC2D79"/>
    <w:rsid w:val="00FC773D"/>
    <w:rsid w:val="00FE57C1"/>
    <w:rsid w:val="00FF1B4A"/>
    <w:rsid w:val="00FF2A24"/>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4F"/>
    <w:pPr>
      <w:spacing w:before="120" w:after="100" w:afterAutospacing="1"/>
      <w:jc w:val="both"/>
    </w:pPr>
    <w:rPr>
      <w:rFonts w:ascii="Avenir Medium" w:hAnsi="Avenir Medium"/>
      <w:sz w:val="22"/>
      <w:lang w:val="tr-TR"/>
    </w:rPr>
  </w:style>
  <w:style w:type="paragraph" w:styleId="Balk1">
    <w:name w:val="heading 1"/>
    <w:basedOn w:val="Normal"/>
    <w:next w:val="Normal"/>
    <w:link w:val="Balk1Char"/>
    <w:uiPriority w:val="9"/>
    <w:qFormat/>
    <w:rsid w:val="00014E9B"/>
    <w:pPr>
      <w:keepNext/>
      <w:keepLines/>
      <w:spacing w:before="480"/>
      <w:outlineLvl w:val="0"/>
    </w:pPr>
    <w:rPr>
      <w:rFonts w:ascii="Avenir Heavy" w:eastAsiaTheme="majorEastAsia" w:hAnsi="Avenir Heavy" w:cstheme="majorBidi"/>
      <w:b/>
      <w:bCs/>
      <w:color w:val="000000" w:themeColor="text1"/>
      <w:sz w:val="32"/>
      <w:szCs w:val="32"/>
    </w:rPr>
  </w:style>
  <w:style w:type="paragraph" w:styleId="Balk2">
    <w:name w:val="heading 2"/>
    <w:basedOn w:val="Normal"/>
    <w:next w:val="Normal"/>
    <w:link w:val="Balk2Char"/>
    <w:uiPriority w:val="9"/>
    <w:unhideWhenUsed/>
    <w:qFormat/>
    <w:rsid w:val="00705473"/>
    <w:pPr>
      <w:keepNext/>
      <w:keepLines/>
      <w:spacing w:before="200"/>
      <w:outlineLvl w:val="1"/>
    </w:pPr>
    <w:rPr>
      <w:rFonts w:asciiTheme="majorHAnsi" w:eastAsiaTheme="majorEastAsia" w:hAnsiTheme="majorHAnsi" w:cstheme="majorBidi"/>
      <w:b/>
      <w:bCs/>
      <w:color w:val="000000" w:themeColor="text1"/>
      <w:sz w:val="26"/>
      <w:szCs w:val="26"/>
    </w:rPr>
  </w:style>
  <w:style w:type="paragraph" w:styleId="Balk3">
    <w:name w:val="heading 3"/>
    <w:basedOn w:val="Normal"/>
    <w:next w:val="Normal"/>
    <w:link w:val="Balk3Char"/>
    <w:uiPriority w:val="9"/>
    <w:unhideWhenUsed/>
    <w:qFormat/>
    <w:rsid w:val="00097FF0"/>
    <w:pPr>
      <w:keepNext/>
      <w:keepLines/>
      <w:spacing w:after="120" w:afterAutospacing="0"/>
      <w:outlineLvl w:val="2"/>
    </w:pPr>
    <w:rPr>
      <w:rFonts w:asciiTheme="majorHAnsi" w:eastAsiaTheme="majorEastAsia" w:hAnsiTheme="majorHAnsi" w:cstheme="majorBidi"/>
      <w:b/>
      <w:bCs/>
      <w:color w:val="000000" w:themeColor="tex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lnt">
    <w:name w:val="alıntı"/>
    <w:rsid w:val="00BD16D5"/>
    <w:rPr>
      <w:rFonts w:ascii="Times New Roman" w:hAnsi="Times New Roman" w:cs="Arial"/>
      <w:b w:val="0"/>
      <w:bCs/>
      <w:i/>
      <w:iCs/>
      <w:noProof w:val="0"/>
      <w:color w:val="000000"/>
      <w:spacing w:val="-2"/>
      <w:szCs w:val="24"/>
      <w:lang w:val="tr-TR" w:eastAsia="en-US" w:bidi="ar-SA"/>
    </w:rPr>
  </w:style>
  <w:style w:type="paragraph" w:customStyle="1" w:styleId="Dipnot">
    <w:name w:val="Dipnot"/>
    <w:basedOn w:val="Normal"/>
    <w:link w:val="DipnotChar4"/>
    <w:autoRedefine/>
    <w:qFormat/>
    <w:rsid w:val="00525D59"/>
    <w:pPr>
      <w:tabs>
        <w:tab w:val="left" w:leader="dot" w:pos="187"/>
      </w:tabs>
      <w:autoSpaceDE w:val="0"/>
      <w:autoSpaceDN w:val="0"/>
      <w:adjustRightInd w:val="0"/>
      <w:spacing w:after="40"/>
    </w:pPr>
    <w:rPr>
      <w:rFonts w:ascii="Times" w:eastAsia="Times New Roman" w:hAnsi="Times" w:cs="Times New Roman"/>
      <w:iCs/>
      <w:color w:val="000000"/>
      <w:sz w:val="20"/>
      <w:szCs w:val="16"/>
      <w:lang w:eastAsia="tr-TR"/>
    </w:rPr>
  </w:style>
  <w:style w:type="character" w:customStyle="1" w:styleId="DipnotChar4">
    <w:name w:val="Dipnot Char4"/>
    <w:link w:val="Dipnot"/>
    <w:rsid w:val="00525D59"/>
    <w:rPr>
      <w:rFonts w:ascii="Times" w:eastAsia="Times New Roman" w:hAnsi="Times" w:cs="Times New Roman"/>
      <w:iCs/>
      <w:color w:val="000000"/>
      <w:sz w:val="20"/>
      <w:szCs w:val="16"/>
      <w:lang w:val="tr-TR" w:eastAsia="tr-TR"/>
    </w:rPr>
  </w:style>
  <w:style w:type="character" w:styleId="SayfaNumaras">
    <w:name w:val="page number"/>
    <w:qFormat/>
    <w:rsid w:val="003B217B"/>
    <w:rPr>
      <w:rFonts w:asciiTheme="minorHAnsi" w:hAnsiTheme="minorHAnsi"/>
      <w:sz w:val="24"/>
    </w:rPr>
  </w:style>
  <w:style w:type="paragraph" w:customStyle="1" w:styleId="Default">
    <w:name w:val="Default"/>
    <w:rsid w:val="00C73FBE"/>
    <w:pPr>
      <w:widowControl w:val="0"/>
      <w:autoSpaceDE w:val="0"/>
      <w:autoSpaceDN w:val="0"/>
      <w:adjustRightInd w:val="0"/>
    </w:pPr>
    <w:rPr>
      <w:rFonts w:ascii="Times New Roman" w:hAnsi="Times New Roman" w:cs="Times New Roman"/>
      <w:color w:val="000000"/>
    </w:rPr>
  </w:style>
  <w:style w:type="paragraph" w:styleId="ListeParagraf">
    <w:name w:val="List Paragraph"/>
    <w:basedOn w:val="Normal"/>
    <w:uiPriority w:val="34"/>
    <w:qFormat/>
    <w:rsid w:val="00061F6B"/>
    <w:pPr>
      <w:spacing w:after="120"/>
      <w:ind w:left="720"/>
    </w:pPr>
  </w:style>
  <w:style w:type="character" w:customStyle="1" w:styleId="Balk1Char">
    <w:name w:val="Başlık 1 Char"/>
    <w:basedOn w:val="VarsaylanParagrafYazTipi"/>
    <w:link w:val="Balk1"/>
    <w:uiPriority w:val="9"/>
    <w:rsid w:val="00014E9B"/>
    <w:rPr>
      <w:rFonts w:ascii="Avenir Heavy" w:eastAsiaTheme="majorEastAsia" w:hAnsi="Avenir Heavy" w:cstheme="majorBidi"/>
      <w:b/>
      <w:bCs/>
      <w:color w:val="000000" w:themeColor="text1"/>
      <w:sz w:val="32"/>
      <w:szCs w:val="32"/>
      <w:lang w:val="tr-TR"/>
    </w:rPr>
  </w:style>
  <w:style w:type="table" w:styleId="TabloKlavuzu">
    <w:name w:val="Table Grid"/>
    <w:basedOn w:val="NormalTablo"/>
    <w:uiPriority w:val="59"/>
    <w:rsid w:val="00551C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OrtaGlgeleme2-Vurgu1">
    <w:name w:val="Medium Shading 2 Accent 1"/>
    <w:basedOn w:val="NormalTablo"/>
    <w:uiPriority w:val="64"/>
    <w:rsid w:val="00551C6C"/>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AkListe-Vurgu1">
    <w:name w:val="Light List Accent 1"/>
    <w:basedOn w:val="NormalTablo"/>
    <w:uiPriority w:val="61"/>
    <w:rsid w:val="00551C6C"/>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Gl">
    <w:name w:val="Strong"/>
    <w:basedOn w:val="VarsaylanParagrafYazTipi"/>
    <w:uiPriority w:val="22"/>
    <w:qFormat/>
    <w:rsid w:val="00357D09"/>
    <w:rPr>
      <w:b/>
      <w:bCs/>
    </w:rPr>
  </w:style>
  <w:style w:type="paragraph" w:styleId="BalonMetni">
    <w:name w:val="Balloon Text"/>
    <w:basedOn w:val="Normal"/>
    <w:link w:val="BalonMetniChar"/>
    <w:uiPriority w:val="99"/>
    <w:semiHidden/>
    <w:unhideWhenUsed/>
    <w:rsid w:val="00676F25"/>
    <w:rPr>
      <w:rFonts w:ascii="Lucida Grande" w:hAnsi="Lucida Grande" w:cs="Lucida Grande"/>
      <w:sz w:val="18"/>
      <w:szCs w:val="18"/>
    </w:rPr>
  </w:style>
  <w:style w:type="character" w:customStyle="1" w:styleId="BalonMetniChar">
    <w:name w:val="Balon Metni Char"/>
    <w:basedOn w:val="VarsaylanParagrafYazTipi"/>
    <w:link w:val="BalonMetni"/>
    <w:uiPriority w:val="99"/>
    <w:semiHidden/>
    <w:rsid w:val="00676F25"/>
    <w:rPr>
      <w:rFonts w:ascii="Lucida Grande" w:hAnsi="Lucida Grande" w:cs="Lucida Grande"/>
      <w:sz w:val="18"/>
      <w:szCs w:val="18"/>
      <w:lang w:val="tr-TR"/>
    </w:rPr>
  </w:style>
  <w:style w:type="paragraph" w:styleId="Altbilgi">
    <w:name w:val="footer"/>
    <w:basedOn w:val="Normal"/>
    <w:link w:val="AltbilgiChar"/>
    <w:uiPriority w:val="99"/>
    <w:unhideWhenUsed/>
    <w:rsid w:val="00712615"/>
    <w:pPr>
      <w:tabs>
        <w:tab w:val="center" w:pos="4153"/>
        <w:tab w:val="right" w:pos="8306"/>
      </w:tabs>
    </w:pPr>
  </w:style>
  <w:style w:type="character" w:customStyle="1" w:styleId="AltbilgiChar">
    <w:name w:val="Altbilgi Char"/>
    <w:basedOn w:val="VarsaylanParagrafYazTipi"/>
    <w:link w:val="Altbilgi"/>
    <w:uiPriority w:val="99"/>
    <w:rsid w:val="00712615"/>
    <w:rPr>
      <w:lang w:val="tr-TR"/>
    </w:rPr>
  </w:style>
  <w:style w:type="character" w:customStyle="1" w:styleId="Balk2Char">
    <w:name w:val="Başlık 2 Char"/>
    <w:basedOn w:val="VarsaylanParagrafYazTipi"/>
    <w:link w:val="Balk2"/>
    <w:uiPriority w:val="9"/>
    <w:rsid w:val="00705473"/>
    <w:rPr>
      <w:rFonts w:asciiTheme="majorHAnsi" w:eastAsiaTheme="majorEastAsia" w:hAnsiTheme="majorHAnsi" w:cstheme="majorBidi"/>
      <w:b/>
      <w:bCs/>
      <w:color w:val="000000" w:themeColor="text1"/>
      <w:sz w:val="26"/>
      <w:szCs w:val="26"/>
      <w:lang w:val="tr-TR"/>
    </w:rPr>
  </w:style>
  <w:style w:type="character" w:styleId="Kpr">
    <w:name w:val="Hyperlink"/>
    <w:basedOn w:val="VarsaylanParagrafYazTipi"/>
    <w:uiPriority w:val="99"/>
    <w:unhideWhenUsed/>
    <w:rsid w:val="00517D0D"/>
    <w:rPr>
      <w:color w:val="0000FF" w:themeColor="hyperlink"/>
      <w:u w:val="single"/>
    </w:rPr>
  </w:style>
  <w:style w:type="character" w:styleId="zlenenKpr">
    <w:name w:val="FollowedHyperlink"/>
    <w:basedOn w:val="VarsaylanParagrafYazTipi"/>
    <w:uiPriority w:val="99"/>
    <w:semiHidden/>
    <w:unhideWhenUsed/>
    <w:rsid w:val="00517D0D"/>
    <w:rPr>
      <w:color w:val="800080" w:themeColor="followedHyperlink"/>
      <w:u w:val="single"/>
    </w:rPr>
  </w:style>
  <w:style w:type="paragraph" w:styleId="stbilgi">
    <w:name w:val="header"/>
    <w:basedOn w:val="Normal"/>
    <w:link w:val="stbilgiChar"/>
    <w:uiPriority w:val="99"/>
    <w:unhideWhenUsed/>
    <w:rsid w:val="001E5D31"/>
    <w:pPr>
      <w:tabs>
        <w:tab w:val="center" w:pos="4153"/>
        <w:tab w:val="right" w:pos="8306"/>
      </w:tabs>
      <w:spacing w:before="0" w:after="0"/>
    </w:pPr>
  </w:style>
  <w:style w:type="character" w:customStyle="1" w:styleId="stbilgiChar">
    <w:name w:val="Üstbilgi Char"/>
    <w:basedOn w:val="VarsaylanParagrafYazTipi"/>
    <w:link w:val="stbilgi"/>
    <w:uiPriority w:val="99"/>
    <w:rsid w:val="001E5D31"/>
    <w:rPr>
      <w:rFonts w:ascii="Avenir Book" w:hAnsi="Avenir Book"/>
      <w:lang w:val="tr-TR"/>
    </w:rPr>
  </w:style>
  <w:style w:type="table" w:styleId="KoyuListe-Vurgu5">
    <w:name w:val="Dark List Accent 5"/>
    <w:basedOn w:val="NormalTablo"/>
    <w:uiPriority w:val="70"/>
    <w:rsid w:val="00BE13C2"/>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RenkliKlavuz-Vurgu5">
    <w:name w:val="Colorful Grid Accent 5"/>
    <w:basedOn w:val="NormalTablo"/>
    <w:uiPriority w:val="73"/>
    <w:rsid w:val="00BE13C2"/>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character" w:customStyle="1" w:styleId="Balk3Char">
    <w:name w:val="Başlık 3 Char"/>
    <w:basedOn w:val="VarsaylanParagrafYazTipi"/>
    <w:link w:val="Balk3"/>
    <w:uiPriority w:val="9"/>
    <w:rsid w:val="00097FF0"/>
    <w:rPr>
      <w:rFonts w:asciiTheme="majorHAnsi" w:eastAsiaTheme="majorEastAsia" w:hAnsiTheme="majorHAnsi" w:cstheme="majorBidi"/>
      <w:b/>
      <w:bCs/>
      <w:color w:val="000000" w:themeColor="text1"/>
      <w:sz w:val="22"/>
      <w:lang w:val="tr-TR"/>
    </w:rPr>
  </w:style>
  <w:style w:type="table" w:styleId="AkGlgeleme-Vurgu1">
    <w:name w:val="Light Shading Accent 1"/>
    <w:basedOn w:val="NormalTablo"/>
    <w:uiPriority w:val="60"/>
    <w:rsid w:val="001062FA"/>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5">
    <w:name w:val="Light Shading Accent 5"/>
    <w:basedOn w:val="NormalTablo"/>
    <w:uiPriority w:val="60"/>
    <w:rsid w:val="001A0A59"/>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Liste-Vurgu5">
    <w:name w:val="Light List Accent 5"/>
    <w:basedOn w:val="NormalTablo"/>
    <w:uiPriority w:val="61"/>
    <w:rsid w:val="001A0A59"/>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BelgeBalantlar">
    <w:name w:val="Document Map"/>
    <w:basedOn w:val="Normal"/>
    <w:link w:val="BelgeBalantlarChar"/>
    <w:uiPriority w:val="99"/>
    <w:semiHidden/>
    <w:unhideWhenUsed/>
    <w:rsid w:val="007C2AF5"/>
    <w:pPr>
      <w:spacing w:before="0" w:after="0"/>
    </w:pPr>
    <w:rPr>
      <w:rFonts w:ascii="Times New Roman" w:hAnsi="Times New Roman" w:cs="Times New Roman"/>
      <w:sz w:val="24"/>
    </w:rPr>
  </w:style>
  <w:style w:type="character" w:customStyle="1" w:styleId="BelgeBalantlarChar">
    <w:name w:val="Belge Bağlantıları Char"/>
    <w:basedOn w:val="VarsaylanParagrafYazTipi"/>
    <w:link w:val="BelgeBalantlar"/>
    <w:uiPriority w:val="99"/>
    <w:semiHidden/>
    <w:rsid w:val="007C2AF5"/>
    <w:rPr>
      <w:rFonts w:ascii="Times New Roman" w:hAnsi="Times New Roman" w:cs="Times New Roman"/>
      <w:lang w:val="tr-TR"/>
    </w:rPr>
  </w:style>
  <w:style w:type="table" w:customStyle="1" w:styleId="GridTable4Accent1">
    <w:name w:val="Grid Table 4 Accent 1"/>
    <w:basedOn w:val="NormalTablo"/>
    <w:uiPriority w:val="49"/>
    <w:rsid w:val="00562C41"/>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1">
    <w:name w:val="Grid Table 5 Dark Accent 1"/>
    <w:basedOn w:val="NormalTablo"/>
    <w:uiPriority w:val="50"/>
    <w:rsid w:val="00A203FD"/>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r="http://schemas.openxmlformats.org/officeDocument/2006/relationships" xmlns:w="http://schemas.openxmlformats.org/wordprocessingml/2006/main">
  <w:divs>
    <w:div w:id="95292536">
      <w:bodyDiv w:val="1"/>
      <w:marLeft w:val="0"/>
      <w:marRight w:val="0"/>
      <w:marTop w:val="0"/>
      <w:marBottom w:val="0"/>
      <w:divBdr>
        <w:top w:val="none" w:sz="0" w:space="0" w:color="auto"/>
        <w:left w:val="none" w:sz="0" w:space="0" w:color="auto"/>
        <w:bottom w:val="none" w:sz="0" w:space="0" w:color="auto"/>
        <w:right w:val="none" w:sz="0" w:space="0" w:color="auto"/>
      </w:divBdr>
    </w:div>
    <w:div w:id="321466259">
      <w:bodyDiv w:val="1"/>
      <w:marLeft w:val="0"/>
      <w:marRight w:val="0"/>
      <w:marTop w:val="0"/>
      <w:marBottom w:val="0"/>
      <w:divBdr>
        <w:top w:val="none" w:sz="0" w:space="0" w:color="auto"/>
        <w:left w:val="none" w:sz="0" w:space="0" w:color="auto"/>
        <w:bottom w:val="none" w:sz="0" w:space="0" w:color="auto"/>
        <w:right w:val="none" w:sz="0" w:space="0" w:color="auto"/>
      </w:divBdr>
    </w:div>
    <w:div w:id="696276780">
      <w:bodyDiv w:val="1"/>
      <w:marLeft w:val="0"/>
      <w:marRight w:val="0"/>
      <w:marTop w:val="0"/>
      <w:marBottom w:val="0"/>
      <w:divBdr>
        <w:top w:val="none" w:sz="0" w:space="0" w:color="auto"/>
        <w:left w:val="none" w:sz="0" w:space="0" w:color="auto"/>
        <w:bottom w:val="none" w:sz="0" w:space="0" w:color="auto"/>
        <w:right w:val="none" w:sz="0" w:space="0" w:color="auto"/>
      </w:divBdr>
    </w:div>
    <w:div w:id="952245261">
      <w:bodyDiv w:val="1"/>
      <w:marLeft w:val="0"/>
      <w:marRight w:val="0"/>
      <w:marTop w:val="0"/>
      <w:marBottom w:val="0"/>
      <w:divBdr>
        <w:top w:val="none" w:sz="0" w:space="0" w:color="auto"/>
        <w:left w:val="none" w:sz="0" w:space="0" w:color="auto"/>
        <w:bottom w:val="none" w:sz="0" w:space="0" w:color="auto"/>
        <w:right w:val="none" w:sz="0" w:space="0" w:color="auto"/>
      </w:divBdr>
    </w:div>
    <w:div w:id="1044410342">
      <w:bodyDiv w:val="1"/>
      <w:marLeft w:val="0"/>
      <w:marRight w:val="0"/>
      <w:marTop w:val="0"/>
      <w:marBottom w:val="0"/>
      <w:divBdr>
        <w:top w:val="none" w:sz="0" w:space="0" w:color="auto"/>
        <w:left w:val="none" w:sz="0" w:space="0" w:color="auto"/>
        <w:bottom w:val="none" w:sz="0" w:space="0" w:color="auto"/>
        <w:right w:val="none" w:sz="0" w:space="0" w:color="auto"/>
      </w:divBdr>
    </w:div>
    <w:div w:id="1046293251">
      <w:bodyDiv w:val="1"/>
      <w:marLeft w:val="0"/>
      <w:marRight w:val="0"/>
      <w:marTop w:val="0"/>
      <w:marBottom w:val="0"/>
      <w:divBdr>
        <w:top w:val="none" w:sz="0" w:space="0" w:color="auto"/>
        <w:left w:val="none" w:sz="0" w:space="0" w:color="auto"/>
        <w:bottom w:val="none" w:sz="0" w:space="0" w:color="auto"/>
        <w:right w:val="none" w:sz="0" w:space="0" w:color="auto"/>
      </w:divBdr>
    </w:div>
    <w:div w:id="1081950866">
      <w:bodyDiv w:val="1"/>
      <w:marLeft w:val="0"/>
      <w:marRight w:val="0"/>
      <w:marTop w:val="0"/>
      <w:marBottom w:val="0"/>
      <w:divBdr>
        <w:top w:val="none" w:sz="0" w:space="0" w:color="auto"/>
        <w:left w:val="none" w:sz="0" w:space="0" w:color="auto"/>
        <w:bottom w:val="none" w:sz="0" w:space="0" w:color="auto"/>
        <w:right w:val="none" w:sz="0" w:space="0" w:color="auto"/>
      </w:divBdr>
    </w:div>
    <w:div w:id="1247571857">
      <w:bodyDiv w:val="1"/>
      <w:marLeft w:val="0"/>
      <w:marRight w:val="0"/>
      <w:marTop w:val="0"/>
      <w:marBottom w:val="0"/>
      <w:divBdr>
        <w:top w:val="none" w:sz="0" w:space="0" w:color="auto"/>
        <w:left w:val="none" w:sz="0" w:space="0" w:color="auto"/>
        <w:bottom w:val="none" w:sz="0" w:space="0" w:color="auto"/>
        <w:right w:val="none" w:sz="0" w:space="0" w:color="auto"/>
      </w:divBdr>
    </w:div>
    <w:div w:id="1418554933">
      <w:bodyDiv w:val="1"/>
      <w:marLeft w:val="0"/>
      <w:marRight w:val="0"/>
      <w:marTop w:val="0"/>
      <w:marBottom w:val="0"/>
      <w:divBdr>
        <w:top w:val="none" w:sz="0" w:space="0" w:color="auto"/>
        <w:left w:val="none" w:sz="0" w:space="0" w:color="auto"/>
        <w:bottom w:val="none" w:sz="0" w:space="0" w:color="auto"/>
        <w:right w:val="none" w:sz="0" w:space="0" w:color="auto"/>
      </w:divBdr>
    </w:div>
    <w:div w:id="1540817003">
      <w:bodyDiv w:val="1"/>
      <w:marLeft w:val="0"/>
      <w:marRight w:val="0"/>
      <w:marTop w:val="0"/>
      <w:marBottom w:val="0"/>
      <w:divBdr>
        <w:top w:val="none" w:sz="0" w:space="0" w:color="auto"/>
        <w:left w:val="none" w:sz="0" w:space="0" w:color="auto"/>
        <w:bottom w:val="none" w:sz="0" w:space="0" w:color="auto"/>
        <w:right w:val="none" w:sz="0" w:space="0" w:color="auto"/>
      </w:divBdr>
    </w:div>
    <w:div w:id="1697651921">
      <w:bodyDiv w:val="1"/>
      <w:marLeft w:val="0"/>
      <w:marRight w:val="0"/>
      <w:marTop w:val="0"/>
      <w:marBottom w:val="0"/>
      <w:divBdr>
        <w:top w:val="none" w:sz="0" w:space="0" w:color="auto"/>
        <w:left w:val="none" w:sz="0" w:space="0" w:color="auto"/>
        <w:bottom w:val="none" w:sz="0" w:space="0" w:color="auto"/>
        <w:right w:val="none" w:sz="0" w:space="0" w:color="auto"/>
      </w:divBdr>
    </w:div>
    <w:div w:id="1703288258">
      <w:bodyDiv w:val="1"/>
      <w:marLeft w:val="0"/>
      <w:marRight w:val="0"/>
      <w:marTop w:val="0"/>
      <w:marBottom w:val="0"/>
      <w:divBdr>
        <w:top w:val="none" w:sz="0" w:space="0" w:color="auto"/>
        <w:left w:val="none" w:sz="0" w:space="0" w:color="auto"/>
        <w:bottom w:val="none" w:sz="0" w:space="0" w:color="auto"/>
        <w:right w:val="none" w:sz="0" w:space="0" w:color="auto"/>
      </w:divBdr>
    </w:div>
    <w:div w:id="1947543217">
      <w:bodyDiv w:val="1"/>
      <w:marLeft w:val="0"/>
      <w:marRight w:val="0"/>
      <w:marTop w:val="0"/>
      <w:marBottom w:val="0"/>
      <w:divBdr>
        <w:top w:val="none" w:sz="0" w:space="0" w:color="auto"/>
        <w:left w:val="none" w:sz="0" w:space="0" w:color="auto"/>
        <w:bottom w:val="none" w:sz="0" w:space="0" w:color="auto"/>
        <w:right w:val="none" w:sz="0" w:space="0" w:color="auto"/>
      </w:divBdr>
    </w:div>
    <w:div w:id="20883085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localhost\Users\ZZ\Dropbox\Belgeler\Sosyal%20Politika%20ve%20Calisma%20iliskileri\sendikalas&#807;ma%20ve%20toplu%20pazarl&#305;k\sendikalas&#807;ma%20veri%20taban&#305;%20csgb\sendika%20u&#776;yelig&#774;i-2013-2016.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localhost\Users\ZZ\Dropbox\Belgeler\Sosyal%20Politika%20ve%20Calisma%20iliskileri\sendikalas&#807;ma%20ve%20toplu%20pazarl&#305;k\sendikalas&#807;ma%20veri%20taban&#305;%20csgb\sendika%20u&#776;yelig&#774;i-2013-2016.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tr-TR"/>
  <c:chart>
    <c:autoTitleDeleted val="1"/>
    <c:plotArea>
      <c:layout>
        <c:manualLayout>
          <c:layoutTarget val="inner"/>
          <c:xMode val="edge"/>
          <c:yMode val="edge"/>
          <c:x val="2.6679102909912905E-2"/>
          <c:y val="3.5919911002587116E-3"/>
          <c:w val="0.94664179418017447"/>
          <c:h val="0.89700132498584983"/>
        </c:manualLayout>
      </c:layout>
      <c:barChart>
        <c:barDir val="col"/>
        <c:grouping val="clustered"/>
        <c:varyColors val="1"/>
        <c:ser>
          <c:idx val="0"/>
          <c:order val="0"/>
          <c:dPt>
            <c:idx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Pt>
          <c:dPt>
            <c:idx val="1"/>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dPt>
          <c:dPt>
            <c:idx val="2"/>
            <c:spPr>
              <a:gradFill>
                <a:gsLst>
                  <a:gs pos="0">
                    <a:schemeClr val="accent3"/>
                  </a:gs>
                  <a:gs pos="100000">
                    <a:schemeClr val="accent3">
                      <a:lumMod val="84000"/>
                    </a:schemeClr>
                  </a:gs>
                </a:gsLst>
                <a:lin ang="5400000" scaled="1"/>
              </a:gradFill>
              <a:ln>
                <a:noFill/>
              </a:ln>
              <a:effectLst>
                <a:outerShdw blurRad="76200" dir="18900000" sy="23000" kx="-1200000" algn="bl" rotWithShape="0">
                  <a:prstClr val="black">
                    <a:alpha val="20000"/>
                  </a:prstClr>
                </a:outerShdw>
              </a:effectLst>
            </c:spPr>
          </c:dPt>
          <c:dPt>
            <c:idx val="3"/>
            <c:spPr>
              <a:gradFill>
                <a:gsLst>
                  <a:gs pos="0">
                    <a:schemeClr val="accent4"/>
                  </a:gs>
                  <a:gs pos="100000">
                    <a:schemeClr val="accent4">
                      <a:lumMod val="84000"/>
                    </a:schemeClr>
                  </a:gs>
                </a:gsLst>
                <a:lin ang="5400000" scaled="1"/>
              </a:gradFill>
              <a:ln>
                <a:noFill/>
              </a:ln>
              <a:effectLst>
                <a:outerShdw blurRad="76200" dir="18900000" sy="23000" kx="-1200000" algn="bl" rotWithShape="0">
                  <a:prstClr val="black">
                    <a:alpha val="20000"/>
                  </a:prstClr>
                </a:outerShdw>
              </a:effectLst>
            </c:spPr>
          </c:dPt>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lt1"/>
                    </a:solidFill>
                    <a:latin typeface="+mn-lt"/>
                    <a:ea typeface="+mn-ea"/>
                    <a:cs typeface="+mn-cs"/>
                  </a:defRPr>
                </a:pPr>
                <a:endParaRPr lang="tr-TR"/>
              </a:p>
            </c:txPr>
            <c:dLblPos val="inEnd"/>
            <c:showVal val="1"/>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'genel sendikalaşma'!$A$21:$A$24</c:f>
              <c:strCache>
                <c:ptCount val="4"/>
                <c:pt idx="0">
                  <c:v>Resmi sendikalaşma oranı</c:v>
                </c:pt>
                <c:pt idx="1">
                  <c:v>Fiili sendikalaşma oranı</c:v>
                </c:pt>
                <c:pt idx="2">
                  <c:v>Toplu iş sözleşmesi kapsamı (genel)</c:v>
                </c:pt>
                <c:pt idx="3">
                  <c:v>Toplu iş sözleşmesi kapsamı (özel sektör)</c:v>
                </c:pt>
              </c:strCache>
            </c:strRef>
          </c:cat>
          <c:val>
            <c:numRef>
              <c:f>'genel sendikalaşma'!$B$21:$B$24</c:f>
              <c:numCache>
                <c:formatCode>0.0%</c:formatCode>
                <c:ptCount val="4"/>
                <c:pt idx="0">
                  <c:v>0.11503448557260003</c:v>
                </c:pt>
                <c:pt idx="1">
                  <c:v>9.6690304280557027E-2</c:v>
                </c:pt>
                <c:pt idx="2">
                  <c:v>6.9591737714008423E-2</c:v>
                </c:pt>
                <c:pt idx="3">
                  <c:v>4.5731220240210431E-2</c:v>
                </c:pt>
              </c:numCache>
            </c:numRef>
          </c:val>
        </c:ser>
        <c:dLbls>
          <c:showVal val="1"/>
        </c:dLbls>
        <c:gapWidth val="100"/>
        <c:axId val="212214144"/>
        <c:axId val="212215680"/>
      </c:barChart>
      <c:catAx>
        <c:axId val="212214144"/>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dk1">
                    <a:lumMod val="65000"/>
                    <a:lumOff val="35000"/>
                  </a:schemeClr>
                </a:solidFill>
                <a:effectLst/>
                <a:latin typeface="+mn-lt"/>
                <a:ea typeface="+mn-ea"/>
                <a:cs typeface="+mn-cs"/>
              </a:defRPr>
            </a:pPr>
            <a:endParaRPr lang="tr-TR"/>
          </a:p>
        </c:txPr>
        <c:crossAx val="212215680"/>
        <c:crosses val="autoZero"/>
        <c:auto val="1"/>
        <c:lblAlgn val="ctr"/>
        <c:lblOffset val="100"/>
      </c:catAx>
      <c:valAx>
        <c:axId val="212215680"/>
        <c:scaling>
          <c:orientation val="minMax"/>
        </c:scaling>
        <c:delete val="1"/>
        <c:axPos val="l"/>
        <c:numFmt formatCode="0.0%" sourceLinked="1"/>
        <c:majorTickMark val="none"/>
        <c:tickLblPos val="none"/>
        <c:crossAx val="212214144"/>
        <c:crosses val="autoZero"/>
        <c:crossBetween val="between"/>
      </c:valAx>
      <c:spPr>
        <a:noFill/>
        <a:ln>
          <a:noFill/>
        </a:ln>
        <a:effectLst/>
      </c:spPr>
    </c:plotArea>
    <c:plotVisOnly val="1"/>
    <c:dispBlanksAs val="gap"/>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tr-TR"/>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tr-TR"/>
  <c:chart>
    <c:autoTitleDeleted val="1"/>
    <c:plotArea>
      <c:layout>
        <c:manualLayout>
          <c:layoutTarget val="inner"/>
          <c:xMode val="edge"/>
          <c:yMode val="edge"/>
          <c:x val="0.43598458846490323"/>
          <c:y val="2.9465095194922911E-2"/>
          <c:w val="0.56401541153509738"/>
          <c:h val="0.94106980961015418"/>
        </c:manualLayout>
      </c:layout>
      <c:barChart>
        <c:barDir val="bar"/>
        <c:grouping val="clustered"/>
        <c:varyColors val="1"/>
        <c:ser>
          <c:idx val="0"/>
          <c:order val="0"/>
          <c:tx>
            <c:strRef>
              <c:f>'işkolu sendikalaşma'!$L$25</c:f>
              <c:strCache>
                <c:ptCount val="1"/>
                <c:pt idx="0">
                  <c:v>201607</c:v>
                </c:pt>
              </c:strCache>
            </c:strRef>
          </c:tx>
          <c:dPt>
            <c:idx val="0"/>
            <c:spPr>
              <a:solidFill>
                <a:schemeClr val="accent1">
                  <a:alpha val="85000"/>
                </a:schemeClr>
              </a:solidFill>
              <a:ln w="9525" cap="flat" cmpd="sng" algn="ctr">
                <a:solidFill>
                  <a:schemeClr val="lt1">
                    <a:alpha val="50000"/>
                  </a:schemeClr>
                </a:solidFill>
                <a:round/>
              </a:ln>
              <a:effectLst/>
            </c:spPr>
          </c:dPt>
          <c:dPt>
            <c:idx val="1"/>
            <c:spPr>
              <a:solidFill>
                <a:schemeClr val="accent2">
                  <a:alpha val="85000"/>
                </a:schemeClr>
              </a:solidFill>
              <a:ln w="9525" cap="flat" cmpd="sng" algn="ctr">
                <a:solidFill>
                  <a:schemeClr val="lt1">
                    <a:alpha val="50000"/>
                  </a:schemeClr>
                </a:solidFill>
                <a:round/>
              </a:ln>
              <a:effectLst/>
            </c:spPr>
          </c:dPt>
          <c:dPt>
            <c:idx val="2"/>
            <c:spPr>
              <a:solidFill>
                <a:schemeClr val="accent3">
                  <a:alpha val="85000"/>
                </a:schemeClr>
              </a:solidFill>
              <a:ln w="9525" cap="flat" cmpd="sng" algn="ctr">
                <a:solidFill>
                  <a:schemeClr val="lt1">
                    <a:alpha val="50000"/>
                  </a:schemeClr>
                </a:solidFill>
                <a:round/>
              </a:ln>
              <a:effectLst/>
            </c:spPr>
          </c:dPt>
          <c:dPt>
            <c:idx val="3"/>
            <c:spPr>
              <a:solidFill>
                <a:schemeClr val="accent4">
                  <a:alpha val="85000"/>
                </a:schemeClr>
              </a:solidFill>
              <a:ln w="9525" cap="flat" cmpd="sng" algn="ctr">
                <a:solidFill>
                  <a:schemeClr val="lt1">
                    <a:alpha val="50000"/>
                  </a:schemeClr>
                </a:solidFill>
                <a:round/>
              </a:ln>
              <a:effectLst/>
            </c:spPr>
          </c:dPt>
          <c:dPt>
            <c:idx val="4"/>
            <c:spPr>
              <a:solidFill>
                <a:schemeClr val="accent5">
                  <a:alpha val="85000"/>
                </a:schemeClr>
              </a:solidFill>
              <a:ln w="9525" cap="flat" cmpd="sng" algn="ctr">
                <a:solidFill>
                  <a:schemeClr val="lt1">
                    <a:alpha val="50000"/>
                  </a:schemeClr>
                </a:solidFill>
                <a:round/>
              </a:ln>
              <a:effectLst/>
            </c:spPr>
          </c:dPt>
          <c:dPt>
            <c:idx val="5"/>
            <c:spPr>
              <a:solidFill>
                <a:schemeClr val="accent6">
                  <a:alpha val="85000"/>
                </a:schemeClr>
              </a:solidFill>
              <a:ln w="9525" cap="flat" cmpd="sng" algn="ctr">
                <a:solidFill>
                  <a:schemeClr val="lt1">
                    <a:alpha val="50000"/>
                  </a:schemeClr>
                </a:solidFill>
                <a:round/>
              </a:ln>
              <a:effectLst/>
            </c:spPr>
          </c:dPt>
          <c:dPt>
            <c:idx val="6"/>
            <c:spPr>
              <a:solidFill>
                <a:schemeClr val="accent1">
                  <a:lumMod val="60000"/>
                  <a:alpha val="85000"/>
                </a:schemeClr>
              </a:solidFill>
              <a:ln w="9525" cap="flat" cmpd="sng" algn="ctr">
                <a:solidFill>
                  <a:schemeClr val="lt1">
                    <a:alpha val="50000"/>
                  </a:schemeClr>
                </a:solidFill>
                <a:round/>
              </a:ln>
              <a:effectLst/>
            </c:spPr>
          </c:dPt>
          <c:dPt>
            <c:idx val="7"/>
            <c:spPr>
              <a:solidFill>
                <a:schemeClr val="accent2">
                  <a:lumMod val="60000"/>
                  <a:alpha val="85000"/>
                </a:schemeClr>
              </a:solidFill>
              <a:ln w="9525" cap="flat" cmpd="sng" algn="ctr">
                <a:solidFill>
                  <a:schemeClr val="lt1">
                    <a:alpha val="50000"/>
                  </a:schemeClr>
                </a:solidFill>
                <a:round/>
              </a:ln>
              <a:effectLst/>
            </c:spPr>
          </c:dPt>
          <c:dPt>
            <c:idx val="8"/>
            <c:spPr>
              <a:solidFill>
                <a:schemeClr val="accent3">
                  <a:lumMod val="60000"/>
                  <a:alpha val="85000"/>
                </a:schemeClr>
              </a:solidFill>
              <a:ln w="9525" cap="flat" cmpd="sng" algn="ctr">
                <a:solidFill>
                  <a:schemeClr val="lt1">
                    <a:alpha val="50000"/>
                  </a:schemeClr>
                </a:solidFill>
                <a:round/>
              </a:ln>
              <a:effectLst/>
            </c:spPr>
          </c:dPt>
          <c:dPt>
            <c:idx val="9"/>
            <c:spPr>
              <a:solidFill>
                <a:schemeClr val="accent4">
                  <a:lumMod val="60000"/>
                  <a:alpha val="85000"/>
                </a:schemeClr>
              </a:solidFill>
              <a:ln w="9525" cap="flat" cmpd="sng" algn="ctr">
                <a:solidFill>
                  <a:schemeClr val="lt1">
                    <a:alpha val="50000"/>
                  </a:schemeClr>
                </a:solidFill>
                <a:round/>
              </a:ln>
              <a:effectLst/>
            </c:spPr>
          </c:dPt>
          <c:dPt>
            <c:idx val="10"/>
            <c:spPr>
              <a:solidFill>
                <a:schemeClr val="accent5">
                  <a:lumMod val="60000"/>
                  <a:alpha val="85000"/>
                </a:schemeClr>
              </a:solidFill>
              <a:ln w="9525" cap="flat" cmpd="sng" algn="ctr">
                <a:solidFill>
                  <a:schemeClr val="lt1">
                    <a:alpha val="50000"/>
                  </a:schemeClr>
                </a:solidFill>
                <a:round/>
              </a:ln>
              <a:effectLst/>
            </c:spPr>
          </c:dPt>
          <c:dPt>
            <c:idx val="11"/>
            <c:spPr>
              <a:solidFill>
                <a:schemeClr val="accent6">
                  <a:lumMod val="60000"/>
                  <a:alpha val="85000"/>
                </a:schemeClr>
              </a:solidFill>
              <a:ln w="9525" cap="flat" cmpd="sng" algn="ctr">
                <a:solidFill>
                  <a:schemeClr val="lt1">
                    <a:alpha val="50000"/>
                  </a:schemeClr>
                </a:solidFill>
                <a:round/>
              </a:ln>
              <a:effectLst/>
            </c:spPr>
          </c:dPt>
          <c:dPt>
            <c:idx val="12"/>
            <c:spPr>
              <a:solidFill>
                <a:schemeClr val="accent1">
                  <a:lumMod val="80000"/>
                  <a:lumOff val="20000"/>
                  <a:alpha val="85000"/>
                </a:schemeClr>
              </a:solidFill>
              <a:ln w="9525" cap="flat" cmpd="sng" algn="ctr">
                <a:solidFill>
                  <a:schemeClr val="lt1">
                    <a:alpha val="50000"/>
                  </a:schemeClr>
                </a:solidFill>
                <a:round/>
              </a:ln>
              <a:effectLst/>
            </c:spPr>
          </c:dPt>
          <c:dPt>
            <c:idx val="13"/>
            <c:spPr>
              <a:solidFill>
                <a:schemeClr val="accent2">
                  <a:lumMod val="80000"/>
                  <a:lumOff val="20000"/>
                  <a:alpha val="85000"/>
                </a:schemeClr>
              </a:solidFill>
              <a:ln w="9525" cap="flat" cmpd="sng" algn="ctr">
                <a:solidFill>
                  <a:schemeClr val="lt1">
                    <a:alpha val="50000"/>
                  </a:schemeClr>
                </a:solidFill>
                <a:round/>
              </a:ln>
              <a:effectLst/>
            </c:spPr>
          </c:dPt>
          <c:dPt>
            <c:idx val="14"/>
            <c:spPr>
              <a:solidFill>
                <a:schemeClr val="accent3">
                  <a:lumMod val="80000"/>
                  <a:lumOff val="20000"/>
                  <a:alpha val="85000"/>
                </a:schemeClr>
              </a:solidFill>
              <a:ln w="9525" cap="flat" cmpd="sng" algn="ctr">
                <a:solidFill>
                  <a:schemeClr val="lt1">
                    <a:alpha val="50000"/>
                  </a:schemeClr>
                </a:solidFill>
                <a:round/>
              </a:ln>
              <a:effectLst/>
            </c:spPr>
          </c:dPt>
          <c:dPt>
            <c:idx val="15"/>
            <c:spPr>
              <a:solidFill>
                <a:schemeClr val="accent4">
                  <a:lumMod val="80000"/>
                  <a:lumOff val="20000"/>
                  <a:alpha val="85000"/>
                </a:schemeClr>
              </a:solidFill>
              <a:ln w="9525" cap="flat" cmpd="sng" algn="ctr">
                <a:solidFill>
                  <a:schemeClr val="lt1">
                    <a:alpha val="50000"/>
                  </a:schemeClr>
                </a:solidFill>
                <a:round/>
              </a:ln>
              <a:effectLst/>
            </c:spPr>
          </c:dPt>
          <c:dPt>
            <c:idx val="16"/>
            <c:spPr>
              <a:solidFill>
                <a:schemeClr val="accent5">
                  <a:lumMod val="80000"/>
                  <a:lumOff val="20000"/>
                  <a:alpha val="85000"/>
                </a:schemeClr>
              </a:solidFill>
              <a:ln w="9525" cap="flat" cmpd="sng" algn="ctr">
                <a:solidFill>
                  <a:schemeClr val="lt1">
                    <a:alpha val="50000"/>
                  </a:schemeClr>
                </a:solidFill>
                <a:round/>
              </a:ln>
              <a:effectLst/>
            </c:spPr>
          </c:dPt>
          <c:dPt>
            <c:idx val="17"/>
            <c:spPr>
              <a:solidFill>
                <a:schemeClr val="accent6">
                  <a:lumMod val="80000"/>
                  <a:lumOff val="20000"/>
                  <a:alpha val="85000"/>
                </a:schemeClr>
              </a:solidFill>
              <a:ln w="9525" cap="flat" cmpd="sng" algn="ctr">
                <a:solidFill>
                  <a:schemeClr val="lt1">
                    <a:alpha val="50000"/>
                  </a:schemeClr>
                </a:solidFill>
                <a:round/>
              </a:ln>
              <a:effectLst/>
            </c:spPr>
          </c:dPt>
          <c:dPt>
            <c:idx val="18"/>
            <c:spPr>
              <a:solidFill>
                <a:schemeClr val="accent1">
                  <a:lumMod val="80000"/>
                  <a:alpha val="85000"/>
                </a:schemeClr>
              </a:solidFill>
              <a:ln w="9525" cap="flat" cmpd="sng" algn="ctr">
                <a:solidFill>
                  <a:schemeClr val="lt1">
                    <a:alpha val="50000"/>
                  </a:schemeClr>
                </a:solidFill>
                <a:round/>
              </a:ln>
              <a:effectLst/>
            </c:spPr>
          </c:dPt>
          <c:dPt>
            <c:idx val="19"/>
            <c:spPr>
              <a:solidFill>
                <a:schemeClr val="accent2">
                  <a:lumMod val="80000"/>
                  <a:alpha val="85000"/>
                </a:schemeClr>
              </a:solidFill>
              <a:ln w="9525" cap="flat" cmpd="sng" algn="ctr">
                <a:solidFill>
                  <a:schemeClr val="lt1">
                    <a:alpha val="50000"/>
                  </a:schemeClr>
                </a:solidFill>
                <a:round/>
              </a:ln>
              <a:effectLst/>
            </c:spPr>
          </c:dPt>
          <c:dPt>
            <c:idx val="20"/>
            <c:spPr>
              <a:solidFill>
                <a:schemeClr val="accent3">
                  <a:lumMod val="80000"/>
                  <a:alpha val="85000"/>
                </a:schemeClr>
              </a:solidFill>
              <a:ln w="9525" cap="flat" cmpd="sng" algn="ctr">
                <a:solidFill>
                  <a:schemeClr val="lt1">
                    <a:alpha val="50000"/>
                  </a:schemeClr>
                </a:solidFill>
                <a:round/>
              </a:ln>
              <a:effectLst/>
            </c:spPr>
          </c:dPt>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effectLst>
                      <a:outerShdw dist="50800" algn="ctr" rotWithShape="0">
                        <a:schemeClr val="bg1"/>
                      </a:outerShdw>
                    </a:effectLst>
                    <a:latin typeface="+mn-lt"/>
                    <a:ea typeface="+mn-ea"/>
                    <a:cs typeface="+mn-cs"/>
                  </a:defRPr>
                </a:pPr>
                <a:endParaRPr lang="tr-TR"/>
              </a:p>
            </c:txPr>
            <c:dLblPos val="outEnd"/>
            <c:showVal val="1"/>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'işkolu sendikalaşma'!$K$26:$K$46</c:f>
              <c:strCache>
                <c:ptCount val="21"/>
                <c:pt idx="0">
                  <c:v>İnşaat</c:v>
                </c:pt>
                <c:pt idx="1">
                  <c:v>Konaklama ve eğlence işleri</c:v>
                </c:pt>
                <c:pt idx="2">
                  <c:v>Ticaret, büro, eğitim ve güzel sanatlar</c:v>
                </c:pt>
                <c:pt idx="3">
                  <c:v>Basın, yayın ve gazetecilik</c:v>
                </c:pt>
                <c:pt idx="4">
                  <c:v>Gemi yapımı ve deniz taşımacılığı, ardiye ve antrepoculuk</c:v>
                </c:pt>
                <c:pt idx="5">
                  <c:v>Ağaç ve kâğıt</c:v>
                </c:pt>
                <c:pt idx="6">
                  <c:v>Sağlık ve sosyal hizmetler</c:v>
                </c:pt>
                <c:pt idx="7">
                  <c:v>Dokuma, hazır giyim ve deri</c:v>
                </c:pt>
                <c:pt idx="8">
                  <c:v>Taşımacılık</c:v>
                </c:pt>
                <c:pt idx="9">
                  <c:v>Petrol, kimya, lastik, plastik ve ilaç</c:v>
                </c:pt>
                <c:pt idx="10">
                  <c:v>Ortalama</c:v>
                </c:pt>
                <c:pt idx="11">
                  <c:v>Gıda sanayi</c:v>
                </c:pt>
                <c:pt idx="12">
                  <c:v>Metal</c:v>
                </c:pt>
                <c:pt idx="13">
                  <c:v>Madencilik ve taş ocakları</c:v>
                </c:pt>
                <c:pt idx="14">
                  <c:v>Çimento, toprak ve cam</c:v>
                </c:pt>
                <c:pt idx="15">
                  <c:v>İletişim</c:v>
                </c:pt>
                <c:pt idx="16">
                  <c:v>Avcılık, balıkçılık, tarım ve ormancılık</c:v>
                </c:pt>
                <c:pt idx="17">
                  <c:v>Enerji</c:v>
                </c:pt>
                <c:pt idx="18">
                  <c:v>Genel işler</c:v>
                </c:pt>
                <c:pt idx="19">
                  <c:v>Savunma ve güvenlik</c:v>
                </c:pt>
                <c:pt idx="20">
                  <c:v>Banka, finans ve sigorta</c:v>
                </c:pt>
              </c:strCache>
            </c:strRef>
          </c:cat>
          <c:val>
            <c:numRef>
              <c:f>'işkolu sendikalaşma'!$L$26:$L$46</c:f>
              <c:numCache>
                <c:formatCode>0.0%</c:formatCode>
                <c:ptCount val="21"/>
                <c:pt idx="0">
                  <c:v>2.6242511180491108E-2</c:v>
                </c:pt>
                <c:pt idx="1">
                  <c:v>3.3888213118407409E-2</c:v>
                </c:pt>
                <c:pt idx="2">
                  <c:v>4.9497022658576431E-2</c:v>
                </c:pt>
                <c:pt idx="3">
                  <c:v>5.8598022661866707E-2</c:v>
                </c:pt>
                <c:pt idx="4">
                  <c:v>8.0315658380035432E-2</c:v>
                </c:pt>
                <c:pt idx="5">
                  <c:v>8.5480029276011033E-2</c:v>
                </c:pt>
                <c:pt idx="6">
                  <c:v>9.1054298148465926E-2</c:v>
                </c:pt>
                <c:pt idx="7">
                  <c:v>9.2457055382872536E-2</c:v>
                </c:pt>
                <c:pt idx="8">
                  <c:v>9.8242691441550137E-2</c:v>
                </c:pt>
                <c:pt idx="9">
                  <c:v>0.112634506159508</c:v>
                </c:pt>
                <c:pt idx="10">
                  <c:v>0.11503448557260003</c:v>
                </c:pt>
                <c:pt idx="11">
                  <c:v>0.13542271677692605</c:v>
                </c:pt>
                <c:pt idx="12">
                  <c:v>0.17321735511280711</c:v>
                </c:pt>
                <c:pt idx="13">
                  <c:v>0.18226619044127715</c:v>
                </c:pt>
                <c:pt idx="14">
                  <c:v>0.19489825164803701</c:v>
                </c:pt>
                <c:pt idx="15">
                  <c:v>0.24110234705656006</c:v>
                </c:pt>
                <c:pt idx="16">
                  <c:v>0.24399010252868306</c:v>
                </c:pt>
                <c:pt idx="17">
                  <c:v>0.26823603576701699</c:v>
                </c:pt>
                <c:pt idx="18">
                  <c:v>0.29397763921960723</c:v>
                </c:pt>
                <c:pt idx="19">
                  <c:v>0.32199352186647112</c:v>
                </c:pt>
                <c:pt idx="20">
                  <c:v>0.35169795316617991</c:v>
                </c:pt>
              </c:numCache>
            </c:numRef>
          </c:val>
        </c:ser>
        <c:dLbls>
          <c:showVal val="1"/>
        </c:dLbls>
        <c:gapWidth val="50"/>
        <c:axId val="212257024"/>
        <c:axId val="212262912"/>
      </c:barChart>
      <c:catAx>
        <c:axId val="212257024"/>
        <c:scaling>
          <c:orientation val="maxMin"/>
        </c:scaling>
        <c:axPos val="l"/>
        <c:numFmt formatCode="General" sourceLinked="0"/>
        <c:maj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800" b="0" i="0" u="none" strike="noStrike" kern="1200" cap="none" baseline="0">
                <a:solidFill>
                  <a:schemeClr val="dk1">
                    <a:lumMod val="75000"/>
                    <a:lumOff val="25000"/>
                  </a:schemeClr>
                </a:solidFill>
                <a:latin typeface="+mn-lt"/>
                <a:ea typeface="+mn-ea"/>
                <a:cs typeface="+mn-cs"/>
              </a:defRPr>
            </a:pPr>
            <a:endParaRPr lang="tr-TR"/>
          </a:p>
        </c:txPr>
        <c:crossAx val="212262912"/>
        <c:crosses val="autoZero"/>
        <c:auto val="1"/>
        <c:lblAlgn val="ctr"/>
        <c:lblOffset val="50"/>
        <c:tickLblSkip val="1"/>
      </c:catAx>
      <c:valAx>
        <c:axId val="212262912"/>
        <c:scaling>
          <c:orientation val="minMax"/>
        </c:scaling>
        <c:delete val="1"/>
        <c:axPos val="b"/>
        <c:numFmt formatCode="0.0%" sourceLinked="0"/>
        <c:majorTickMark val="none"/>
        <c:tickLblPos val="none"/>
        <c:crossAx val="212257024"/>
        <c:crosses val="max"/>
        <c:crossBetween val="between"/>
      </c:valAx>
      <c:spPr>
        <a:noFill/>
        <a:ln>
          <a:noFill/>
        </a:ln>
        <a:effectLst/>
      </c:spPr>
    </c:plotArea>
    <c:plotVisOnly val="1"/>
    <c:dispBlanksAs val="gap"/>
  </c:chart>
  <c:spPr>
    <a:solidFill>
      <a:schemeClr val="bg1"/>
    </a:solidFill>
    <a:ln w="9525" cap="flat" cmpd="sng" algn="ctr">
      <a:solidFill>
        <a:schemeClr val="dk1">
          <a:lumMod val="25000"/>
          <a:lumOff val="75000"/>
        </a:schemeClr>
      </a:solidFill>
      <a:round/>
    </a:ln>
    <a:effectLst/>
  </c:spPr>
  <c:txPr>
    <a:bodyPr/>
    <a:lstStyle/>
    <a:p>
      <a:pPr>
        <a:defRPr/>
      </a:pPr>
      <a:endParaRPr lang="tr-TR"/>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3B82FB-E5D0-489D-A0EC-25B0A3363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9</Pages>
  <Words>2376</Words>
  <Characters>13544</Characters>
  <Application>Microsoft Office Word</Application>
  <DocSecurity>0</DocSecurity>
  <Lines>112</Lines>
  <Paragraphs>31</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
  <LinksUpToDate>false</LinksUpToDate>
  <CharactersWithSpaces>15889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dc:creator>
  <cp:keywords/>
  <dc:description/>
  <cp:lastModifiedBy>Umar Karatepe</cp:lastModifiedBy>
  <cp:revision>213</cp:revision>
  <cp:lastPrinted>2016-08-01T10:23:00Z</cp:lastPrinted>
  <dcterms:created xsi:type="dcterms:W3CDTF">2016-05-15T18:44:00Z</dcterms:created>
  <dcterms:modified xsi:type="dcterms:W3CDTF">2016-08-01T14:41:00Z</dcterms:modified>
</cp:coreProperties>
</file>